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7E" w:rsidRPr="00104830" w:rsidRDefault="00643D6A" w:rsidP="00942D7E">
      <w:p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>April 19, 2023</w:t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Board of Public Works and Safety</w:t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10 S. State St.</w:t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Greenfield, IN 46140</w:t>
      </w:r>
      <w:r w:rsidRPr="00104830">
        <w:rPr>
          <w:rFonts w:ascii="Century Gothic" w:hAnsi="Century Gothic" w:cs="Calibri"/>
          <w:sz w:val="22"/>
          <w:szCs w:val="18"/>
        </w:rPr>
        <w:tab/>
      </w:r>
      <w:r w:rsidRPr="00104830">
        <w:rPr>
          <w:rFonts w:ascii="Century Gothic" w:hAnsi="Century Gothic" w:cs="Calibri"/>
          <w:sz w:val="22"/>
          <w:szCs w:val="18"/>
        </w:rPr>
        <w:tab/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942D7E" w:rsidRPr="00104830" w:rsidRDefault="00104830" w:rsidP="00942D7E">
      <w:p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>Re: Encroachment Agreement</w:t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Members:</w:t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Our department has rece</w:t>
      </w:r>
      <w:r w:rsidR="0005343F">
        <w:rPr>
          <w:rFonts w:ascii="Century Gothic" w:hAnsi="Century Gothic" w:cs="Calibri"/>
          <w:sz w:val="22"/>
          <w:szCs w:val="18"/>
        </w:rPr>
        <w:t xml:space="preserve">ived a request to encroach into Depot Street Park </w:t>
      </w:r>
      <w:r w:rsidRPr="00104830">
        <w:rPr>
          <w:rFonts w:ascii="Century Gothic" w:hAnsi="Century Gothic" w:cs="Calibri"/>
          <w:sz w:val="22"/>
          <w:szCs w:val="18"/>
        </w:rPr>
        <w:t>for the purpos</w:t>
      </w:r>
      <w:r w:rsidR="00104830">
        <w:rPr>
          <w:rFonts w:ascii="Century Gothic" w:hAnsi="Century Gothic" w:cs="Calibri"/>
          <w:sz w:val="22"/>
          <w:szCs w:val="18"/>
        </w:rPr>
        <w:t xml:space="preserve">e of constructing a </w:t>
      </w:r>
      <w:r w:rsidR="0005343F">
        <w:rPr>
          <w:rFonts w:ascii="Century Gothic" w:hAnsi="Century Gothic" w:cs="Calibri"/>
          <w:sz w:val="22"/>
          <w:szCs w:val="18"/>
        </w:rPr>
        <w:t>deck</w:t>
      </w:r>
      <w:r w:rsidR="00104830">
        <w:rPr>
          <w:rFonts w:ascii="Century Gothic" w:hAnsi="Century Gothic" w:cs="Calibri"/>
          <w:sz w:val="22"/>
          <w:szCs w:val="18"/>
        </w:rPr>
        <w:t xml:space="preserve">.  </w:t>
      </w:r>
      <w:r w:rsidR="0005343F">
        <w:rPr>
          <w:rFonts w:ascii="Century Gothic" w:hAnsi="Century Gothic" w:cs="Calibri"/>
          <w:sz w:val="22"/>
          <w:szCs w:val="18"/>
        </w:rPr>
        <w:t xml:space="preserve">The proposed deck </w:t>
      </w:r>
      <w:r w:rsidR="00704B9C">
        <w:rPr>
          <w:rFonts w:ascii="Century Gothic" w:hAnsi="Century Gothic" w:cs="Calibri"/>
          <w:sz w:val="22"/>
          <w:szCs w:val="18"/>
        </w:rPr>
        <w:t xml:space="preserve">and boardwalk </w:t>
      </w:r>
      <w:r w:rsidR="0005343F">
        <w:rPr>
          <w:rFonts w:ascii="Century Gothic" w:hAnsi="Century Gothic" w:cs="Calibri"/>
          <w:sz w:val="22"/>
          <w:szCs w:val="18"/>
        </w:rPr>
        <w:t xml:space="preserve">is a part of the new Depot Barn which will house public restrooms as well as businesses that enhance the events held at the </w:t>
      </w:r>
      <w:r w:rsidR="00704B9C">
        <w:rPr>
          <w:rFonts w:ascii="Century Gothic" w:hAnsi="Century Gothic" w:cs="Calibri"/>
          <w:sz w:val="22"/>
          <w:szCs w:val="18"/>
        </w:rPr>
        <w:t>Depot Street Park</w:t>
      </w:r>
      <w:r w:rsidR="0005343F">
        <w:rPr>
          <w:rFonts w:ascii="Century Gothic" w:hAnsi="Century Gothic" w:cs="Calibri"/>
          <w:sz w:val="22"/>
          <w:szCs w:val="18"/>
        </w:rPr>
        <w:t xml:space="preserve">.  </w:t>
      </w:r>
      <w:r w:rsidR="00104830">
        <w:rPr>
          <w:rFonts w:ascii="Century Gothic" w:hAnsi="Century Gothic" w:cs="Calibri"/>
          <w:sz w:val="22"/>
          <w:szCs w:val="18"/>
        </w:rPr>
        <w:t>The</w:t>
      </w:r>
      <w:r w:rsidRPr="00104830">
        <w:rPr>
          <w:rFonts w:ascii="Century Gothic" w:hAnsi="Century Gothic" w:cs="Calibri"/>
          <w:sz w:val="22"/>
          <w:szCs w:val="18"/>
        </w:rPr>
        <w:t xml:space="preserve"> </w:t>
      </w:r>
      <w:r w:rsidR="00DD0E6B">
        <w:rPr>
          <w:rFonts w:ascii="Century Gothic" w:hAnsi="Century Gothic" w:cs="Calibri"/>
          <w:sz w:val="22"/>
          <w:szCs w:val="18"/>
        </w:rPr>
        <w:t>commercial</w:t>
      </w:r>
      <w:r w:rsidRPr="00104830">
        <w:rPr>
          <w:rFonts w:ascii="Century Gothic" w:hAnsi="Century Gothic" w:cs="Calibri"/>
          <w:sz w:val="22"/>
          <w:szCs w:val="18"/>
        </w:rPr>
        <w:t xml:space="preserve"> property owner ha</w:t>
      </w:r>
      <w:r w:rsidR="00104830">
        <w:rPr>
          <w:rFonts w:ascii="Century Gothic" w:hAnsi="Century Gothic" w:cs="Calibri"/>
          <w:sz w:val="22"/>
          <w:szCs w:val="18"/>
        </w:rPr>
        <w:t>s</w:t>
      </w:r>
      <w:r w:rsidRPr="00104830">
        <w:rPr>
          <w:rFonts w:ascii="Century Gothic" w:hAnsi="Century Gothic" w:cs="Calibri"/>
          <w:sz w:val="22"/>
          <w:szCs w:val="18"/>
        </w:rPr>
        <w:t xml:space="preserve"> applied for an improvement location permit and an encroachment agreement </w:t>
      </w:r>
      <w:r w:rsidR="0005343F">
        <w:rPr>
          <w:rFonts w:ascii="Century Gothic" w:hAnsi="Century Gothic" w:cs="Calibri"/>
          <w:sz w:val="22"/>
          <w:szCs w:val="18"/>
        </w:rPr>
        <w:t>to encroach into the Depot Street Park.</w:t>
      </w:r>
      <w:r w:rsidRPr="00104830">
        <w:rPr>
          <w:rFonts w:ascii="Century Gothic" w:hAnsi="Century Gothic" w:cs="Calibri"/>
          <w:sz w:val="22"/>
          <w:szCs w:val="18"/>
        </w:rPr>
        <w:t xml:space="preserve">  Upon review of the application</w:t>
      </w:r>
      <w:r w:rsidR="0005126E">
        <w:rPr>
          <w:rFonts w:ascii="Century Gothic" w:hAnsi="Century Gothic" w:cs="Calibri"/>
          <w:sz w:val="22"/>
          <w:szCs w:val="18"/>
        </w:rPr>
        <w:t xml:space="preserve"> by the affected public and private utilities</w:t>
      </w:r>
      <w:r w:rsidR="0005343F">
        <w:rPr>
          <w:rFonts w:ascii="Century Gothic" w:hAnsi="Century Gothic" w:cs="Calibri"/>
          <w:sz w:val="22"/>
          <w:szCs w:val="18"/>
        </w:rPr>
        <w:t xml:space="preserve"> and the Parks Department</w:t>
      </w:r>
      <w:r w:rsidRPr="00104830">
        <w:rPr>
          <w:rFonts w:ascii="Century Gothic" w:hAnsi="Century Gothic" w:cs="Calibri"/>
          <w:sz w:val="22"/>
          <w:szCs w:val="18"/>
        </w:rPr>
        <w:t xml:space="preserve">, </w:t>
      </w:r>
      <w:r w:rsidR="0005126E">
        <w:rPr>
          <w:rFonts w:ascii="Century Gothic" w:hAnsi="Century Gothic" w:cs="Calibri"/>
          <w:sz w:val="22"/>
          <w:szCs w:val="18"/>
        </w:rPr>
        <w:t>it has been</w:t>
      </w:r>
      <w:r w:rsidRPr="00104830">
        <w:rPr>
          <w:rFonts w:ascii="Century Gothic" w:hAnsi="Century Gothic" w:cs="Calibri"/>
          <w:sz w:val="22"/>
          <w:szCs w:val="18"/>
        </w:rPr>
        <w:t xml:space="preserve"> determined </w:t>
      </w:r>
      <w:r w:rsidR="0005126E">
        <w:rPr>
          <w:rFonts w:ascii="Century Gothic" w:hAnsi="Century Gothic" w:cs="Calibri"/>
          <w:sz w:val="22"/>
          <w:szCs w:val="18"/>
        </w:rPr>
        <w:t xml:space="preserve">that </w:t>
      </w:r>
      <w:r w:rsidRPr="00104830">
        <w:rPr>
          <w:rFonts w:ascii="Century Gothic" w:hAnsi="Century Gothic" w:cs="Calibri"/>
          <w:sz w:val="22"/>
          <w:szCs w:val="18"/>
        </w:rPr>
        <w:t xml:space="preserve">the encroachment </w:t>
      </w:r>
      <w:r w:rsidRPr="00104830">
        <w:rPr>
          <w:rFonts w:ascii="Century Gothic" w:hAnsi="Century Gothic" w:cs="Calibri"/>
          <w:b/>
          <w:sz w:val="22"/>
          <w:szCs w:val="18"/>
        </w:rPr>
        <w:t>will not</w:t>
      </w:r>
      <w:r w:rsidRPr="00104830">
        <w:rPr>
          <w:rFonts w:ascii="Century Gothic" w:hAnsi="Century Gothic" w:cs="Calibri"/>
          <w:sz w:val="22"/>
          <w:szCs w:val="18"/>
        </w:rPr>
        <w:t xml:space="preserve"> adversely affect the use of the </w:t>
      </w:r>
      <w:r w:rsidR="0005343F">
        <w:rPr>
          <w:rFonts w:ascii="Century Gothic" w:hAnsi="Century Gothic" w:cs="Calibri"/>
          <w:sz w:val="22"/>
          <w:szCs w:val="18"/>
        </w:rPr>
        <w:t>park</w:t>
      </w:r>
      <w:r w:rsidRPr="00104830">
        <w:rPr>
          <w:rFonts w:ascii="Century Gothic" w:hAnsi="Century Gothic" w:cs="Calibri"/>
          <w:sz w:val="22"/>
          <w:szCs w:val="18"/>
        </w:rPr>
        <w:t xml:space="preserve">.  Therefore, it is my recommendation that the Board </w:t>
      </w:r>
      <w:r w:rsidRPr="00104830">
        <w:rPr>
          <w:rFonts w:ascii="Century Gothic" w:hAnsi="Century Gothic" w:cs="Calibri"/>
          <w:b/>
          <w:sz w:val="22"/>
          <w:szCs w:val="18"/>
        </w:rPr>
        <w:t>approve</w:t>
      </w:r>
      <w:r w:rsidRPr="00104830">
        <w:rPr>
          <w:rFonts w:ascii="Century Gothic" w:hAnsi="Century Gothic" w:cs="Calibri"/>
          <w:sz w:val="22"/>
          <w:szCs w:val="18"/>
        </w:rPr>
        <w:t xml:space="preserve"> the f</w:t>
      </w:r>
      <w:r w:rsidR="00104830">
        <w:rPr>
          <w:rFonts w:ascii="Century Gothic" w:hAnsi="Century Gothic" w:cs="Calibri"/>
          <w:sz w:val="22"/>
          <w:szCs w:val="18"/>
        </w:rPr>
        <w:t>ollowing encroachment agreement</w:t>
      </w:r>
      <w:r w:rsidRPr="00104830">
        <w:rPr>
          <w:rFonts w:ascii="Century Gothic" w:hAnsi="Century Gothic" w:cs="Calibri"/>
          <w:sz w:val="22"/>
          <w:szCs w:val="18"/>
        </w:rPr>
        <w:t xml:space="preserve"> with the co</w:t>
      </w:r>
      <w:r w:rsidR="005A6008">
        <w:rPr>
          <w:rFonts w:ascii="Century Gothic" w:hAnsi="Century Gothic" w:cs="Calibri"/>
          <w:sz w:val="22"/>
          <w:szCs w:val="18"/>
        </w:rPr>
        <w:t>nditions</w:t>
      </w:r>
      <w:r w:rsidRPr="00104830">
        <w:rPr>
          <w:rFonts w:ascii="Century Gothic" w:hAnsi="Century Gothic" w:cs="Calibri"/>
          <w:sz w:val="22"/>
          <w:szCs w:val="18"/>
        </w:rPr>
        <w:t xml:space="preserve"> as outlined below.</w:t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C06923" w:rsidRPr="00104830" w:rsidRDefault="00AB5B31" w:rsidP="00942D7E">
      <w:pPr>
        <w:rPr>
          <w:rFonts w:ascii="Century Gothic" w:hAnsi="Century Gothic" w:cs="Calibri"/>
          <w:b/>
          <w:sz w:val="22"/>
          <w:szCs w:val="18"/>
        </w:rPr>
      </w:pPr>
      <w:r>
        <w:rPr>
          <w:rFonts w:ascii="Century Gothic" w:hAnsi="Century Gothic" w:cs="Calibri"/>
          <w:b/>
          <w:sz w:val="22"/>
          <w:szCs w:val="18"/>
        </w:rPr>
        <w:t>Depot Street Investments LLC – 220 W. Mill St.</w:t>
      </w:r>
      <w:r w:rsidR="00704B9C">
        <w:rPr>
          <w:rFonts w:ascii="Century Gothic" w:hAnsi="Century Gothic" w:cs="Calibri"/>
          <w:b/>
          <w:sz w:val="22"/>
          <w:szCs w:val="18"/>
        </w:rPr>
        <w:t xml:space="preserve"> Deck and Boardwa</w:t>
      </w:r>
      <w:r w:rsidR="00643D6A">
        <w:rPr>
          <w:rFonts w:ascii="Century Gothic" w:hAnsi="Century Gothic" w:cs="Calibri"/>
          <w:b/>
          <w:sz w:val="22"/>
          <w:szCs w:val="18"/>
        </w:rPr>
        <w:t>lk to encroach Depot Street Park</w:t>
      </w:r>
    </w:p>
    <w:p w:rsidR="005A6008" w:rsidRDefault="005A6008" w:rsidP="005A6008">
      <w:p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>Temporary banners and signs on the deck and boardwalk railing facing Depot Street Park shall adhere to the following conditions:</w:t>
      </w:r>
    </w:p>
    <w:p w:rsidR="005A6008" w:rsidRDefault="005A6008" w:rsidP="005A6008">
      <w:pPr>
        <w:pStyle w:val="ListParagraph"/>
        <w:numPr>
          <w:ilvl w:val="0"/>
          <w:numId w:val="10"/>
        </w:num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>A maximum of 6 total signs or banners shall be displayed at any one time on the deck or boardwalk railing.</w:t>
      </w:r>
    </w:p>
    <w:p w:rsidR="005A6008" w:rsidRDefault="005A6008" w:rsidP="005A6008">
      <w:pPr>
        <w:pStyle w:val="ListParagraph"/>
        <w:numPr>
          <w:ilvl w:val="0"/>
          <w:numId w:val="10"/>
        </w:num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 xml:space="preserve">Each sign or banner shall have a maximum size of </w:t>
      </w:r>
      <w:r w:rsidR="00643D6A">
        <w:rPr>
          <w:rFonts w:ascii="Century Gothic" w:hAnsi="Century Gothic" w:cs="Calibri"/>
          <w:sz w:val="22"/>
          <w:szCs w:val="18"/>
        </w:rPr>
        <w:t>3</w:t>
      </w:r>
      <w:r>
        <w:rPr>
          <w:rFonts w:ascii="Century Gothic" w:hAnsi="Century Gothic" w:cs="Calibri"/>
          <w:sz w:val="22"/>
          <w:szCs w:val="18"/>
        </w:rPr>
        <w:t>’ by 10’.</w:t>
      </w:r>
    </w:p>
    <w:p w:rsidR="005A6008" w:rsidRDefault="005A6008" w:rsidP="005A6008">
      <w:pPr>
        <w:pStyle w:val="ListParagraph"/>
        <w:numPr>
          <w:ilvl w:val="0"/>
          <w:numId w:val="10"/>
        </w:num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>Signs and banners shall cover a maximum of 70%</w:t>
      </w:r>
      <w:r w:rsidR="00D456BA">
        <w:rPr>
          <w:rFonts w:ascii="Century Gothic" w:hAnsi="Century Gothic" w:cs="Calibri"/>
          <w:sz w:val="22"/>
          <w:szCs w:val="18"/>
        </w:rPr>
        <w:t xml:space="preserve"> of the total area of the deck or boardwalk railing at any one time.</w:t>
      </w:r>
    </w:p>
    <w:p w:rsidR="00D456BA" w:rsidRDefault="00D456BA" w:rsidP="00D456BA">
      <w:pPr>
        <w:pStyle w:val="ListParagraph"/>
        <w:numPr>
          <w:ilvl w:val="0"/>
          <w:numId w:val="10"/>
        </w:num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>Neither signs nor banners shall extend above or below the deck or boardwalk railing.</w:t>
      </w:r>
    </w:p>
    <w:p w:rsidR="00D456BA" w:rsidRPr="00D456BA" w:rsidRDefault="00D456BA" w:rsidP="00D456BA">
      <w:pPr>
        <w:pStyle w:val="ListParagraph"/>
        <w:numPr>
          <w:ilvl w:val="0"/>
          <w:numId w:val="10"/>
        </w:numPr>
        <w:rPr>
          <w:rFonts w:ascii="Century Gothic" w:hAnsi="Century Gothic" w:cs="Calibri"/>
          <w:sz w:val="22"/>
          <w:szCs w:val="18"/>
        </w:rPr>
      </w:pPr>
      <w:r>
        <w:rPr>
          <w:rFonts w:ascii="Century Gothic" w:hAnsi="Century Gothic" w:cs="Calibri"/>
          <w:sz w:val="22"/>
          <w:szCs w:val="18"/>
        </w:rPr>
        <w:t xml:space="preserve">Signs and banners shall be displayed along the deck or boardwalk </w:t>
      </w:r>
      <w:r w:rsidR="00704B9C">
        <w:rPr>
          <w:rFonts w:ascii="Century Gothic" w:hAnsi="Century Gothic" w:cs="Calibri"/>
          <w:sz w:val="22"/>
          <w:szCs w:val="18"/>
        </w:rPr>
        <w:t>railing</w:t>
      </w:r>
      <w:r>
        <w:rPr>
          <w:rFonts w:ascii="Century Gothic" w:hAnsi="Century Gothic" w:cs="Calibri"/>
          <w:sz w:val="22"/>
          <w:szCs w:val="18"/>
        </w:rPr>
        <w:t xml:space="preserve"> only from </w:t>
      </w:r>
      <w:r w:rsidR="00704B9C">
        <w:rPr>
          <w:rFonts w:ascii="Century Gothic" w:hAnsi="Century Gothic" w:cs="Calibri"/>
          <w:sz w:val="22"/>
          <w:szCs w:val="18"/>
        </w:rPr>
        <w:t>May through October.</w:t>
      </w:r>
    </w:p>
    <w:p w:rsidR="00DF3360" w:rsidRPr="00104830" w:rsidRDefault="00DF3360" w:rsidP="00DF3360">
      <w:pPr>
        <w:rPr>
          <w:rFonts w:ascii="Century Gothic" w:hAnsi="Century Gothic" w:cs="Calibri"/>
          <w:b/>
          <w:sz w:val="22"/>
          <w:szCs w:val="18"/>
        </w:rPr>
      </w:pPr>
    </w:p>
    <w:p w:rsidR="00430B58" w:rsidRPr="00104830" w:rsidRDefault="00430B58" w:rsidP="00942D7E">
      <w:pPr>
        <w:rPr>
          <w:rFonts w:ascii="Century Gothic" w:hAnsi="Century Gothic" w:cs="Calibri"/>
          <w:b/>
          <w:sz w:val="22"/>
          <w:szCs w:val="18"/>
        </w:rPr>
      </w:pP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Respectfully,</w:t>
      </w: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</w:p>
    <w:p w:rsidR="00942D7E" w:rsidRPr="00104830" w:rsidRDefault="00942D7E" w:rsidP="00942D7E">
      <w:pPr>
        <w:rPr>
          <w:rFonts w:ascii="Century Gothic" w:hAnsi="Century Gothic" w:cs="Calibri"/>
          <w:sz w:val="22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Joanie Fitzwater</w:t>
      </w:r>
    </w:p>
    <w:p w:rsidR="00A908C1" w:rsidRDefault="00942D7E" w:rsidP="00A908C1">
      <w:pPr>
        <w:rPr>
          <w:rFonts w:ascii="Century Gothic" w:hAnsi="Century Gothic" w:cs="Calibri"/>
          <w:sz w:val="18"/>
          <w:szCs w:val="18"/>
        </w:rPr>
      </w:pPr>
      <w:r w:rsidRPr="00104830">
        <w:rPr>
          <w:rFonts w:ascii="Century Gothic" w:hAnsi="Century Gothic" w:cs="Calibri"/>
          <w:sz w:val="22"/>
          <w:szCs w:val="18"/>
        </w:rPr>
        <w:t>Zoning Administrator</w:t>
      </w:r>
      <w:bookmarkStart w:id="0" w:name="_GoBack"/>
      <w:bookmarkEnd w:id="0"/>
    </w:p>
    <w:p w:rsidR="00A908C1" w:rsidRDefault="00A908C1" w:rsidP="00A908C1">
      <w:pPr>
        <w:rPr>
          <w:rFonts w:ascii="Century Gothic" w:hAnsi="Century Gothic" w:cs="Calibri"/>
          <w:sz w:val="18"/>
          <w:szCs w:val="18"/>
        </w:rPr>
      </w:pPr>
    </w:p>
    <w:sectPr w:rsidR="00A908C1" w:rsidSect="0063547D">
      <w:headerReference w:type="default" r:id="rId8"/>
      <w:footerReference w:type="default" r:id="rId9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22" w:rsidRDefault="002D7F22">
      <w:r>
        <w:separator/>
      </w:r>
    </w:p>
  </w:endnote>
  <w:endnote w:type="continuationSeparator" w:id="0">
    <w:p w:rsidR="002D7F22" w:rsidRDefault="002D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58" w:rsidRPr="00335231" w:rsidRDefault="00430B58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46140-2364  (317)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22" w:rsidRDefault="002D7F22">
      <w:r>
        <w:separator/>
      </w:r>
    </w:p>
  </w:footnote>
  <w:footnote w:type="continuationSeparator" w:id="0">
    <w:p w:rsidR="002D7F22" w:rsidRDefault="002D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58" w:rsidRDefault="00430B58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B58" w:rsidRPr="00335231" w:rsidRDefault="00430B58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430B58" w:rsidRDefault="00430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7B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B11538"/>
    <w:multiLevelType w:val="hybridMultilevel"/>
    <w:tmpl w:val="543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22B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A73E4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7AC4"/>
    <w:rsid w:val="000502C2"/>
    <w:rsid w:val="0005126E"/>
    <w:rsid w:val="00051B80"/>
    <w:rsid w:val="0005343F"/>
    <w:rsid w:val="0008096D"/>
    <w:rsid w:val="00104830"/>
    <w:rsid w:val="00142679"/>
    <w:rsid w:val="00177D40"/>
    <w:rsid w:val="001C75B3"/>
    <w:rsid w:val="002754D6"/>
    <w:rsid w:val="002937A4"/>
    <w:rsid w:val="002B5EF8"/>
    <w:rsid w:val="002D6BFC"/>
    <w:rsid w:val="002D7F22"/>
    <w:rsid w:val="00303EA4"/>
    <w:rsid w:val="00314167"/>
    <w:rsid w:val="0032637A"/>
    <w:rsid w:val="00333253"/>
    <w:rsid w:val="00335231"/>
    <w:rsid w:val="003C354A"/>
    <w:rsid w:val="003C78D8"/>
    <w:rsid w:val="003D45B2"/>
    <w:rsid w:val="00407EC6"/>
    <w:rsid w:val="0041475E"/>
    <w:rsid w:val="00430B58"/>
    <w:rsid w:val="00435E21"/>
    <w:rsid w:val="00436145"/>
    <w:rsid w:val="004864DF"/>
    <w:rsid w:val="00487513"/>
    <w:rsid w:val="00490CBA"/>
    <w:rsid w:val="004927E8"/>
    <w:rsid w:val="004C2FA0"/>
    <w:rsid w:val="004D5089"/>
    <w:rsid w:val="004E3C49"/>
    <w:rsid w:val="004E748F"/>
    <w:rsid w:val="004F7E78"/>
    <w:rsid w:val="00535BC1"/>
    <w:rsid w:val="0054048D"/>
    <w:rsid w:val="00540C58"/>
    <w:rsid w:val="00562318"/>
    <w:rsid w:val="00575FD6"/>
    <w:rsid w:val="005A2E2E"/>
    <w:rsid w:val="005A6008"/>
    <w:rsid w:val="005C7692"/>
    <w:rsid w:val="005D100B"/>
    <w:rsid w:val="005D6067"/>
    <w:rsid w:val="00632D3D"/>
    <w:rsid w:val="0063547D"/>
    <w:rsid w:val="00640B3F"/>
    <w:rsid w:val="00643D6A"/>
    <w:rsid w:val="00687839"/>
    <w:rsid w:val="006A1C2D"/>
    <w:rsid w:val="006B3D80"/>
    <w:rsid w:val="006F3793"/>
    <w:rsid w:val="006F5546"/>
    <w:rsid w:val="00704B9C"/>
    <w:rsid w:val="007306BB"/>
    <w:rsid w:val="007404C6"/>
    <w:rsid w:val="00743E12"/>
    <w:rsid w:val="007C52EB"/>
    <w:rsid w:val="007F7861"/>
    <w:rsid w:val="00807926"/>
    <w:rsid w:val="008209EC"/>
    <w:rsid w:val="00840986"/>
    <w:rsid w:val="00855BD6"/>
    <w:rsid w:val="00860EA1"/>
    <w:rsid w:val="00881A65"/>
    <w:rsid w:val="008B069E"/>
    <w:rsid w:val="008B7023"/>
    <w:rsid w:val="008D6BCF"/>
    <w:rsid w:val="008E7218"/>
    <w:rsid w:val="00910DE9"/>
    <w:rsid w:val="00911C28"/>
    <w:rsid w:val="009228D2"/>
    <w:rsid w:val="00942D7E"/>
    <w:rsid w:val="00944B5A"/>
    <w:rsid w:val="00951540"/>
    <w:rsid w:val="00966E9B"/>
    <w:rsid w:val="00997A17"/>
    <w:rsid w:val="009C5D9D"/>
    <w:rsid w:val="009D2C97"/>
    <w:rsid w:val="009F3E58"/>
    <w:rsid w:val="00A07321"/>
    <w:rsid w:val="00A11EF0"/>
    <w:rsid w:val="00A47A64"/>
    <w:rsid w:val="00A53DA3"/>
    <w:rsid w:val="00A73961"/>
    <w:rsid w:val="00A908C1"/>
    <w:rsid w:val="00AA5E5F"/>
    <w:rsid w:val="00AB5B31"/>
    <w:rsid w:val="00AD76EF"/>
    <w:rsid w:val="00B102B4"/>
    <w:rsid w:val="00B14E34"/>
    <w:rsid w:val="00B25E5B"/>
    <w:rsid w:val="00B33C5D"/>
    <w:rsid w:val="00B64E55"/>
    <w:rsid w:val="00B762CC"/>
    <w:rsid w:val="00B8177F"/>
    <w:rsid w:val="00B9038E"/>
    <w:rsid w:val="00BB389A"/>
    <w:rsid w:val="00BE1237"/>
    <w:rsid w:val="00C055E5"/>
    <w:rsid w:val="00C06923"/>
    <w:rsid w:val="00C2070A"/>
    <w:rsid w:val="00C24016"/>
    <w:rsid w:val="00C34103"/>
    <w:rsid w:val="00CA2A6F"/>
    <w:rsid w:val="00CD0B3B"/>
    <w:rsid w:val="00CD15B0"/>
    <w:rsid w:val="00CF2FD6"/>
    <w:rsid w:val="00D456BA"/>
    <w:rsid w:val="00D75FD3"/>
    <w:rsid w:val="00DA11C8"/>
    <w:rsid w:val="00DA16A6"/>
    <w:rsid w:val="00DD0E6B"/>
    <w:rsid w:val="00DD37DE"/>
    <w:rsid w:val="00DD6879"/>
    <w:rsid w:val="00DF3360"/>
    <w:rsid w:val="00DF6F1F"/>
    <w:rsid w:val="00E01E00"/>
    <w:rsid w:val="00E17225"/>
    <w:rsid w:val="00E23CDC"/>
    <w:rsid w:val="00E305D0"/>
    <w:rsid w:val="00E50010"/>
    <w:rsid w:val="00E81E39"/>
    <w:rsid w:val="00E8392C"/>
    <w:rsid w:val="00E95918"/>
    <w:rsid w:val="00EC0ADF"/>
    <w:rsid w:val="00EF1F1E"/>
    <w:rsid w:val="00EF3143"/>
    <w:rsid w:val="00EF6BBA"/>
    <w:rsid w:val="00F22072"/>
    <w:rsid w:val="00F301F5"/>
    <w:rsid w:val="00F66807"/>
    <w:rsid w:val="00F7119F"/>
    <w:rsid w:val="00F74FD9"/>
    <w:rsid w:val="00FD2841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4800C44-10E4-46CB-9294-2583DB5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278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2</cp:revision>
  <cp:lastPrinted>2019-11-07T19:53:00Z</cp:lastPrinted>
  <dcterms:created xsi:type="dcterms:W3CDTF">2023-04-19T18:35:00Z</dcterms:created>
  <dcterms:modified xsi:type="dcterms:W3CDTF">2023-04-19T18:35:00Z</dcterms:modified>
</cp:coreProperties>
</file>