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A24EB" w14:textId="75C9802F" w:rsidR="00131853" w:rsidRPr="00131853" w:rsidRDefault="00131853" w:rsidP="00131853">
      <w:pPr>
        <w:spacing w:after="0" w:line="240" w:lineRule="auto"/>
        <w:jc w:val="center"/>
        <w:rPr>
          <w:rFonts w:ascii="Calibri" w:eastAsia="Calibri" w:hAnsi="Calibri" w:cs="Times New Roman"/>
          <w:b/>
          <w:bCs/>
          <w:sz w:val="28"/>
          <w:szCs w:val="28"/>
        </w:rPr>
      </w:pPr>
      <w:r w:rsidRPr="00131853">
        <w:rPr>
          <w:rFonts w:ascii="Calibri" w:eastAsia="Calibri" w:hAnsi="Calibri" w:cs="Times New Roman"/>
          <w:b/>
          <w:bCs/>
          <w:sz w:val="28"/>
          <w:szCs w:val="28"/>
        </w:rPr>
        <w:t>REQUEST FOR QUALIFICATIONS (RFQ)</w:t>
      </w:r>
    </w:p>
    <w:p w14:paraId="488706F0" w14:textId="77777777" w:rsidR="00131853" w:rsidRPr="00131853" w:rsidRDefault="00131853" w:rsidP="00131853">
      <w:pPr>
        <w:spacing w:after="0" w:line="240" w:lineRule="auto"/>
        <w:jc w:val="center"/>
        <w:rPr>
          <w:rFonts w:ascii="Calibri" w:eastAsia="Calibri" w:hAnsi="Calibri" w:cs="Times New Roman"/>
          <w:b/>
          <w:bCs/>
          <w:szCs w:val="24"/>
        </w:rPr>
      </w:pPr>
      <w:r w:rsidRPr="00131853">
        <w:rPr>
          <w:rFonts w:ascii="Calibri" w:eastAsia="Calibri" w:hAnsi="Calibri" w:cs="Times New Roman"/>
          <w:b/>
          <w:bCs/>
          <w:szCs w:val="24"/>
        </w:rPr>
        <w:t>Professional Environmental Services for</w:t>
      </w:r>
    </w:p>
    <w:p w14:paraId="7F220E88" w14:textId="1F228DF6" w:rsidR="00131853" w:rsidRPr="00131853" w:rsidRDefault="00542DB2" w:rsidP="00131853">
      <w:pPr>
        <w:spacing w:after="0" w:line="240" w:lineRule="auto"/>
        <w:jc w:val="center"/>
        <w:rPr>
          <w:rFonts w:ascii="Calibri" w:eastAsia="Calibri" w:hAnsi="Calibri" w:cs="Times New Roman"/>
          <w:b/>
          <w:bCs/>
          <w:szCs w:val="24"/>
        </w:rPr>
      </w:pPr>
      <w:r>
        <w:rPr>
          <w:rFonts w:ascii="Calibri" w:eastAsia="Calibri" w:hAnsi="Calibri" w:cs="Times New Roman"/>
          <w:b/>
          <w:bCs/>
          <w:szCs w:val="24"/>
        </w:rPr>
        <w:t>City of Greenfield, Indiana</w:t>
      </w:r>
      <w:r w:rsidR="00131853" w:rsidRPr="00131853">
        <w:rPr>
          <w:rFonts w:ascii="Calibri" w:eastAsia="Calibri" w:hAnsi="Calibri" w:cs="Times New Roman"/>
          <w:b/>
          <w:bCs/>
          <w:szCs w:val="24"/>
        </w:rPr>
        <w:t xml:space="preserve"> Brownfield </w:t>
      </w:r>
      <w:r w:rsidR="003D66AF">
        <w:rPr>
          <w:rFonts w:ascii="Calibri" w:eastAsia="Calibri" w:hAnsi="Calibri" w:cs="Times New Roman"/>
          <w:b/>
          <w:bCs/>
          <w:szCs w:val="24"/>
        </w:rPr>
        <w:t xml:space="preserve">Community-wide </w:t>
      </w:r>
      <w:r w:rsidR="00131853">
        <w:rPr>
          <w:rFonts w:ascii="Calibri" w:eastAsia="Calibri" w:hAnsi="Calibri" w:cs="Times New Roman"/>
          <w:b/>
          <w:bCs/>
          <w:szCs w:val="24"/>
        </w:rPr>
        <w:t>Assessment</w:t>
      </w:r>
      <w:r w:rsidR="004122EB">
        <w:rPr>
          <w:rFonts w:ascii="Calibri" w:eastAsia="Calibri" w:hAnsi="Calibri" w:cs="Times New Roman"/>
          <w:b/>
          <w:bCs/>
          <w:szCs w:val="24"/>
        </w:rPr>
        <w:t xml:space="preserve"> Grant</w:t>
      </w:r>
    </w:p>
    <w:p w14:paraId="58948671" w14:textId="77777777" w:rsidR="00131853" w:rsidRPr="00131853" w:rsidRDefault="00131853" w:rsidP="00131853">
      <w:pPr>
        <w:spacing w:after="0" w:line="240" w:lineRule="auto"/>
        <w:jc w:val="center"/>
        <w:rPr>
          <w:rFonts w:ascii="Calibri" w:eastAsia="Calibri" w:hAnsi="Calibri" w:cs="Times New Roman"/>
          <w:b/>
          <w:bCs/>
          <w:szCs w:val="24"/>
        </w:rPr>
      </w:pPr>
    </w:p>
    <w:p w14:paraId="54F693D0" w14:textId="77777777" w:rsidR="00131853" w:rsidRPr="00131853" w:rsidRDefault="00131853" w:rsidP="00131853">
      <w:pPr>
        <w:spacing w:after="0" w:line="240" w:lineRule="auto"/>
        <w:jc w:val="center"/>
        <w:rPr>
          <w:rFonts w:ascii="Calibri" w:eastAsia="Calibri" w:hAnsi="Calibri" w:cs="Times New Roman"/>
          <w:b/>
          <w:bCs/>
          <w:szCs w:val="24"/>
        </w:rPr>
      </w:pPr>
      <w:r w:rsidRPr="00131853">
        <w:rPr>
          <w:rFonts w:ascii="Calibri" w:eastAsia="Calibri" w:hAnsi="Calibri" w:cs="Times New Roman"/>
          <w:b/>
          <w:bCs/>
          <w:szCs w:val="24"/>
        </w:rPr>
        <w:t xml:space="preserve">Submittal Due Date and Time:  </w:t>
      </w:r>
    </w:p>
    <w:p w14:paraId="6F65E3AF" w14:textId="732E4B9A" w:rsidR="00131853" w:rsidRDefault="00542DB2" w:rsidP="00131853">
      <w:pPr>
        <w:spacing w:after="0" w:line="240" w:lineRule="auto"/>
        <w:jc w:val="center"/>
        <w:rPr>
          <w:rFonts w:ascii="Calibri" w:eastAsia="Calibri" w:hAnsi="Calibri" w:cs="Times New Roman"/>
          <w:szCs w:val="24"/>
        </w:rPr>
      </w:pPr>
      <w:r>
        <w:rPr>
          <w:rFonts w:ascii="Calibri" w:eastAsia="Calibri" w:hAnsi="Calibri" w:cs="Times New Roman"/>
          <w:szCs w:val="24"/>
        </w:rPr>
        <w:t xml:space="preserve">October </w:t>
      </w:r>
      <w:r w:rsidR="001F2751">
        <w:rPr>
          <w:rFonts w:ascii="Calibri" w:eastAsia="Calibri" w:hAnsi="Calibri" w:cs="Times New Roman"/>
          <w:szCs w:val="24"/>
        </w:rPr>
        <w:t>27</w:t>
      </w:r>
      <w:r w:rsidR="00131853" w:rsidRPr="00131853">
        <w:rPr>
          <w:rFonts w:ascii="Calibri" w:eastAsia="Calibri" w:hAnsi="Calibri" w:cs="Times New Roman"/>
          <w:szCs w:val="24"/>
        </w:rPr>
        <w:t xml:space="preserve">, </w:t>
      </w:r>
      <w:proofErr w:type="gramStart"/>
      <w:r w:rsidR="00131853" w:rsidRPr="00131853">
        <w:rPr>
          <w:rFonts w:ascii="Calibri" w:eastAsia="Calibri" w:hAnsi="Calibri" w:cs="Times New Roman"/>
          <w:szCs w:val="24"/>
        </w:rPr>
        <w:t>202</w:t>
      </w:r>
      <w:r>
        <w:rPr>
          <w:rFonts w:ascii="Calibri" w:eastAsia="Calibri" w:hAnsi="Calibri" w:cs="Times New Roman"/>
          <w:szCs w:val="24"/>
        </w:rPr>
        <w:t>5</w:t>
      </w:r>
      <w:proofErr w:type="gramEnd"/>
      <w:r w:rsidR="00131853" w:rsidRPr="00131853">
        <w:rPr>
          <w:rFonts w:ascii="Calibri" w:eastAsia="Calibri" w:hAnsi="Calibri" w:cs="Times New Roman"/>
          <w:szCs w:val="24"/>
        </w:rPr>
        <w:t xml:space="preserve"> by </w:t>
      </w:r>
      <w:r w:rsidR="00131853" w:rsidRPr="00542DB2">
        <w:rPr>
          <w:rFonts w:ascii="Calibri" w:eastAsia="Calibri" w:hAnsi="Calibri" w:cs="Times New Roman"/>
          <w:szCs w:val="24"/>
        </w:rPr>
        <w:t xml:space="preserve">12:00 pm </w:t>
      </w:r>
      <w:r>
        <w:rPr>
          <w:rFonts w:ascii="Calibri" w:eastAsia="Calibri" w:hAnsi="Calibri" w:cs="Times New Roman"/>
          <w:szCs w:val="24"/>
        </w:rPr>
        <w:t>EST</w:t>
      </w:r>
    </w:p>
    <w:p w14:paraId="75DDDC03" w14:textId="77777777" w:rsidR="00542DB2" w:rsidRPr="00131853" w:rsidRDefault="00542DB2" w:rsidP="00131853">
      <w:pPr>
        <w:spacing w:after="0" w:line="240" w:lineRule="auto"/>
        <w:jc w:val="center"/>
        <w:rPr>
          <w:rFonts w:ascii="Calibri" w:eastAsia="Calibri" w:hAnsi="Calibri" w:cs="Times New Roman"/>
          <w:b/>
          <w:bCs/>
          <w:szCs w:val="24"/>
        </w:rPr>
      </w:pPr>
    </w:p>
    <w:p w14:paraId="32DC9C52" w14:textId="77777777" w:rsidR="00131853" w:rsidRPr="00131853" w:rsidRDefault="00131853" w:rsidP="00131853">
      <w:pPr>
        <w:spacing w:after="0" w:line="240" w:lineRule="auto"/>
        <w:jc w:val="center"/>
        <w:rPr>
          <w:rFonts w:ascii="Calibri" w:eastAsia="Calibri" w:hAnsi="Calibri" w:cs="Times New Roman"/>
          <w:b/>
          <w:bCs/>
          <w:szCs w:val="24"/>
        </w:rPr>
      </w:pPr>
      <w:r w:rsidRPr="00131853">
        <w:rPr>
          <w:rFonts w:ascii="Calibri" w:eastAsia="Calibri" w:hAnsi="Calibri" w:cs="Times New Roman"/>
          <w:b/>
          <w:bCs/>
          <w:szCs w:val="24"/>
        </w:rPr>
        <w:t>Question Submittal Deadline:</w:t>
      </w:r>
    </w:p>
    <w:p w14:paraId="5465D76B" w14:textId="5FEF97D0" w:rsidR="00131853" w:rsidRPr="00131853" w:rsidRDefault="00542DB2" w:rsidP="00131853">
      <w:pPr>
        <w:spacing w:after="0" w:line="240" w:lineRule="auto"/>
        <w:jc w:val="center"/>
        <w:rPr>
          <w:rFonts w:ascii="Calibri" w:eastAsia="Calibri" w:hAnsi="Calibri" w:cs="Times New Roman"/>
          <w:szCs w:val="24"/>
        </w:rPr>
      </w:pPr>
      <w:r>
        <w:rPr>
          <w:rFonts w:ascii="Calibri" w:eastAsia="Calibri" w:hAnsi="Calibri" w:cs="Times New Roman"/>
          <w:szCs w:val="24"/>
        </w:rPr>
        <w:t>October 1</w:t>
      </w:r>
      <w:r w:rsidR="001F2751">
        <w:rPr>
          <w:rFonts w:ascii="Calibri" w:eastAsia="Calibri" w:hAnsi="Calibri" w:cs="Times New Roman"/>
          <w:szCs w:val="24"/>
        </w:rPr>
        <w:t>3</w:t>
      </w:r>
      <w:r w:rsidR="00131853" w:rsidRPr="00131853">
        <w:rPr>
          <w:rFonts w:ascii="Calibri" w:eastAsia="Calibri" w:hAnsi="Calibri" w:cs="Times New Roman"/>
          <w:szCs w:val="24"/>
        </w:rPr>
        <w:t xml:space="preserve">, </w:t>
      </w:r>
      <w:proofErr w:type="gramStart"/>
      <w:r w:rsidR="00131853" w:rsidRPr="00131853">
        <w:rPr>
          <w:rFonts w:ascii="Calibri" w:eastAsia="Calibri" w:hAnsi="Calibri" w:cs="Times New Roman"/>
          <w:szCs w:val="24"/>
        </w:rPr>
        <w:t>202</w:t>
      </w:r>
      <w:r>
        <w:rPr>
          <w:rFonts w:ascii="Calibri" w:eastAsia="Calibri" w:hAnsi="Calibri" w:cs="Times New Roman"/>
          <w:szCs w:val="24"/>
        </w:rPr>
        <w:t>5</w:t>
      </w:r>
      <w:proofErr w:type="gramEnd"/>
      <w:r w:rsidR="00131853" w:rsidRPr="00131853">
        <w:rPr>
          <w:rFonts w:ascii="Calibri" w:eastAsia="Calibri" w:hAnsi="Calibri" w:cs="Times New Roman"/>
          <w:szCs w:val="24"/>
        </w:rPr>
        <w:t xml:space="preserve"> by </w:t>
      </w:r>
      <w:r w:rsidR="00131853" w:rsidRPr="00542DB2">
        <w:rPr>
          <w:rFonts w:ascii="Calibri" w:eastAsia="Calibri" w:hAnsi="Calibri" w:cs="Times New Roman"/>
          <w:szCs w:val="24"/>
        </w:rPr>
        <w:t xml:space="preserve">12:00 pm </w:t>
      </w:r>
      <w:r>
        <w:rPr>
          <w:rFonts w:ascii="Calibri" w:eastAsia="Calibri" w:hAnsi="Calibri" w:cs="Times New Roman"/>
          <w:szCs w:val="24"/>
        </w:rPr>
        <w:t>EST</w:t>
      </w:r>
    </w:p>
    <w:p w14:paraId="620617B5" w14:textId="77777777" w:rsidR="00131853" w:rsidRPr="00131853" w:rsidRDefault="00131853" w:rsidP="00131853">
      <w:pPr>
        <w:spacing w:after="0" w:line="240" w:lineRule="auto"/>
        <w:jc w:val="center"/>
        <w:rPr>
          <w:rFonts w:ascii="Calibri" w:eastAsia="Calibri" w:hAnsi="Calibri" w:cs="Times New Roman"/>
          <w:b/>
          <w:bCs/>
          <w:szCs w:val="24"/>
        </w:rPr>
      </w:pPr>
    </w:p>
    <w:p w14:paraId="2E109754" w14:textId="77777777" w:rsidR="00131853" w:rsidRPr="00131853" w:rsidRDefault="00131853" w:rsidP="00131853">
      <w:pPr>
        <w:spacing w:after="0" w:line="240" w:lineRule="auto"/>
        <w:jc w:val="center"/>
        <w:rPr>
          <w:rFonts w:ascii="Calibri" w:eastAsia="Calibri" w:hAnsi="Calibri" w:cs="Times New Roman"/>
          <w:b/>
          <w:bCs/>
          <w:szCs w:val="24"/>
        </w:rPr>
      </w:pPr>
      <w:r w:rsidRPr="00131853">
        <w:rPr>
          <w:rFonts w:ascii="Calibri" w:eastAsia="Calibri" w:hAnsi="Calibri" w:cs="Times New Roman"/>
          <w:b/>
          <w:bCs/>
          <w:szCs w:val="24"/>
        </w:rPr>
        <w:t>Mail or deliver documents to:</w:t>
      </w:r>
    </w:p>
    <w:p w14:paraId="302398C5" w14:textId="4D49370E" w:rsidR="00B14275" w:rsidRPr="00B14275" w:rsidRDefault="00B14275" w:rsidP="00B14275">
      <w:pPr>
        <w:spacing w:after="0" w:line="240" w:lineRule="auto"/>
        <w:jc w:val="center"/>
        <w:rPr>
          <w:rFonts w:ascii="Calibri" w:eastAsia="Calibri" w:hAnsi="Calibri" w:cs="Times New Roman"/>
          <w:szCs w:val="24"/>
        </w:rPr>
      </w:pPr>
      <w:r w:rsidRPr="00B14275">
        <w:rPr>
          <w:rFonts w:ascii="Calibri" w:eastAsia="Calibri" w:hAnsi="Calibri" w:cs="Times New Roman"/>
          <w:szCs w:val="24"/>
        </w:rPr>
        <w:t>City of Greenfield</w:t>
      </w:r>
    </w:p>
    <w:p w14:paraId="60A87F94" w14:textId="77777777" w:rsidR="00B14275" w:rsidRPr="00B14275" w:rsidRDefault="00B14275" w:rsidP="00B14275">
      <w:pPr>
        <w:spacing w:after="0" w:line="240" w:lineRule="auto"/>
        <w:jc w:val="center"/>
        <w:rPr>
          <w:rFonts w:ascii="Calibri" w:eastAsia="Calibri" w:hAnsi="Calibri" w:cs="Times New Roman"/>
          <w:szCs w:val="24"/>
        </w:rPr>
      </w:pPr>
      <w:r w:rsidRPr="00B14275">
        <w:rPr>
          <w:rFonts w:ascii="Calibri" w:eastAsia="Calibri" w:hAnsi="Calibri" w:cs="Times New Roman"/>
          <w:szCs w:val="24"/>
        </w:rPr>
        <w:t>c/o Clerk Treasurer</w:t>
      </w:r>
    </w:p>
    <w:p w14:paraId="3B332B94" w14:textId="77777777" w:rsidR="00B14275" w:rsidRPr="00B14275" w:rsidRDefault="00B14275" w:rsidP="00B14275">
      <w:pPr>
        <w:spacing w:after="0" w:line="240" w:lineRule="auto"/>
        <w:jc w:val="center"/>
        <w:rPr>
          <w:rFonts w:ascii="Calibri" w:eastAsia="Calibri" w:hAnsi="Calibri" w:cs="Times New Roman"/>
          <w:szCs w:val="24"/>
        </w:rPr>
      </w:pPr>
      <w:r w:rsidRPr="00B14275">
        <w:rPr>
          <w:rFonts w:ascii="Calibri" w:eastAsia="Calibri" w:hAnsi="Calibri" w:cs="Times New Roman"/>
          <w:szCs w:val="24"/>
        </w:rPr>
        <w:t>10 S State Street</w:t>
      </w:r>
    </w:p>
    <w:p w14:paraId="351BAC4D" w14:textId="0CD1F559" w:rsidR="00B14275" w:rsidRPr="00B14275" w:rsidRDefault="00B14275" w:rsidP="00B14275">
      <w:pPr>
        <w:spacing w:after="0" w:line="240" w:lineRule="auto"/>
        <w:jc w:val="center"/>
        <w:rPr>
          <w:rFonts w:ascii="Calibri" w:eastAsia="Calibri" w:hAnsi="Calibri" w:cs="Times New Roman"/>
          <w:szCs w:val="24"/>
        </w:rPr>
      </w:pPr>
      <w:r w:rsidRPr="00B14275">
        <w:rPr>
          <w:rFonts w:ascii="Calibri" w:eastAsia="Calibri" w:hAnsi="Calibri" w:cs="Times New Roman"/>
          <w:szCs w:val="24"/>
        </w:rPr>
        <w:t>Greenfield IN 46140</w:t>
      </w:r>
    </w:p>
    <w:p w14:paraId="2EFDEF92" w14:textId="77777777" w:rsidR="00131853" w:rsidRPr="00131853" w:rsidRDefault="00131853" w:rsidP="00D325BE">
      <w:pPr>
        <w:spacing w:after="0" w:line="240" w:lineRule="auto"/>
        <w:jc w:val="right"/>
        <w:rPr>
          <w:rFonts w:asciiTheme="minorHAnsi" w:hAnsiTheme="minorHAnsi" w:cstheme="minorHAnsi"/>
          <w:color w:val="000000"/>
          <w:szCs w:val="24"/>
        </w:rPr>
      </w:pPr>
    </w:p>
    <w:p w14:paraId="7BEBAA30" w14:textId="77777777" w:rsidR="00842739" w:rsidRPr="00131853" w:rsidRDefault="00D325BE" w:rsidP="00D325BE">
      <w:pPr>
        <w:pStyle w:val="CM20"/>
        <w:spacing w:after="0"/>
        <w:rPr>
          <w:rFonts w:asciiTheme="minorHAnsi" w:hAnsiTheme="minorHAnsi" w:cstheme="minorHAnsi"/>
          <w:b/>
          <w:color w:val="000000"/>
          <w:sz w:val="28"/>
          <w:szCs w:val="28"/>
        </w:rPr>
      </w:pPr>
      <w:r w:rsidRPr="00131853">
        <w:rPr>
          <w:rFonts w:asciiTheme="minorHAnsi" w:hAnsiTheme="minorHAnsi" w:cstheme="minorHAnsi"/>
          <w:b/>
          <w:color w:val="000000"/>
          <w:sz w:val="28"/>
          <w:szCs w:val="28"/>
        </w:rPr>
        <w:t>Introduction</w:t>
      </w:r>
    </w:p>
    <w:p w14:paraId="050EA47A" w14:textId="7728A06E" w:rsidR="00D325BE" w:rsidRPr="00131853" w:rsidRDefault="00131853" w:rsidP="006C42FA">
      <w:pPr>
        <w:pStyle w:val="CM20"/>
        <w:spacing w:after="0"/>
        <w:rPr>
          <w:rFonts w:asciiTheme="minorHAnsi" w:hAnsiTheme="minorHAnsi" w:cstheme="minorHAnsi"/>
        </w:rPr>
      </w:pPr>
      <w:r>
        <w:rPr>
          <w:rFonts w:asciiTheme="minorHAnsi" w:hAnsiTheme="minorHAnsi" w:cstheme="minorHAnsi"/>
        </w:rPr>
        <w:t xml:space="preserve">The </w:t>
      </w:r>
      <w:r w:rsidR="00542DB2">
        <w:rPr>
          <w:rFonts w:asciiTheme="minorHAnsi" w:hAnsiTheme="minorHAnsi" w:cstheme="minorHAnsi"/>
        </w:rPr>
        <w:t>City of Greenfield,</w:t>
      </w:r>
      <w:r>
        <w:rPr>
          <w:rFonts w:asciiTheme="minorHAnsi" w:hAnsiTheme="minorHAnsi" w:cstheme="minorHAnsi"/>
        </w:rPr>
        <w:t xml:space="preserve"> </w:t>
      </w:r>
      <w:r w:rsidR="00D325BE" w:rsidRPr="00131853">
        <w:rPr>
          <w:rFonts w:asciiTheme="minorHAnsi" w:hAnsiTheme="minorHAnsi" w:cstheme="minorHAnsi"/>
        </w:rPr>
        <w:t>hereafter known as “</w:t>
      </w:r>
      <w:r w:rsidR="00EA6F4C" w:rsidRPr="00542DB2">
        <w:rPr>
          <w:rFonts w:asciiTheme="minorHAnsi" w:hAnsiTheme="minorHAnsi" w:cstheme="minorHAnsi"/>
        </w:rPr>
        <w:t xml:space="preserve">the </w:t>
      </w:r>
      <w:proofErr w:type="gramStart"/>
      <w:r w:rsidR="003D66AF" w:rsidRPr="00542DB2">
        <w:rPr>
          <w:rFonts w:asciiTheme="minorHAnsi" w:hAnsiTheme="minorHAnsi" w:cstheme="minorHAnsi"/>
        </w:rPr>
        <w:t>City</w:t>
      </w:r>
      <w:proofErr w:type="gramEnd"/>
      <w:r w:rsidR="0026007C" w:rsidRPr="00131853">
        <w:rPr>
          <w:rFonts w:asciiTheme="minorHAnsi" w:hAnsiTheme="minorHAnsi" w:cstheme="minorHAnsi"/>
        </w:rPr>
        <w:t>”</w:t>
      </w:r>
      <w:r>
        <w:rPr>
          <w:rFonts w:asciiTheme="minorHAnsi" w:hAnsiTheme="minorHAnsi" w:cstheme="minorHAnsi"/>
        </w:rPr>
        <w:t xml:space="preserve"> is </w:t>
      </w:r>
      <w:r w:rsidRPr="00131853">
        <w:rPr>
          <w:rFonts w:asciiTheme="minorHAnsi" w:hAnsiTheme="minorHAnsi" w:cstheme="minorHAnsi"/>
        </w:rPr>
        <w:t>soliciting qualifications and proposals for professional environmental services from qualified environmental consulting firms (Respondents)</w:t>
      </w:r>
      <w:r>
        <w:rPr>
          <w:rFonts w:asciiTheme="minorHAnsi" w:hAnsiTheme="minorHAnsi" w:cstheme="minorHAnsi"/>
        </w:rPr>
        <w:t xml:space="preserve"> to </w:t>
      </w:r>
      <w:r w:rsidR="00D325BE" w:rsidRPr="00131853">
        <w:rPr>
          <w:rFonts w:asciiTheme="minorHAnsi" w:hAnsiTheme="minorHAnsi" w:cstheme="minorHAnsi"/>
        </w:rPr>
        <w:t>provid</w:t>
      </w:r>
      <w:r>
        <w:rPr>
          <w:rFonts w:asciiTheme="minorHAnsi" w:hAnsiTheme="minorHAnsi" w:cstheme="minorHAnsi"/>
        </w:rPr>
        <w:t>e</w:t>
      </w:r>
      <w:r w:rsidR="00D325BE" w:rsidRPr="00131853">
        <w:rPr>
          <w:rFonts w:asciiTheme="minorHAnsi" w:hAnsiTheme="minorHAnsi" w:cstheme="minorHAnsi"/>
        </w:rPr>
        <w:t xml:space="preserve"> environment</w:t>
      </w:r>
      <w:r>
        <w:rPr>
          <w:rFonts w:asciiTheme="minorHAnsi" w:hAnsiTheme="minorHAnsi" w:cstheme="minorHAnsi"/>
        </w:rPr>
        <w:t>al</w:t>
      </w:r>
      <w:r w:rsidR="00D325BE" w:rsidRPr="00131853">
        <w:rPr>
          <w:rFonts w:asciiTheme="minorHAnsi" w:hAnsiTheme="minorHAnsi" w:cstheme="minorHAnsi"/>
        </w:rPr>
        <w:t xml:space="preserve"> assessment services to the </w:t>
      </w:r>
      <w:proofErr w:type="gramStart"/>
      <w:r w:rsidR="003D66AF" w:rsidRPr="00542DB2">
        <w:rPr>
          <w:rFonts w:asciiTheme="minorHAnsi" w:hAnsiTheme="minorHAnsi" w:cstheme="minorHAnsi"/>
        </w:rPr>
        <w:t>City</w:t>
      </w:r>
      <w:proofErr w:type="gramEnd"/>
      <w:r w:rsidR="00D325BE" w:rsidRPr="00131853">
        <w:rPr>
          <w:rFonts w:asciiTheme="minorHAnsi" w:hAnsiTheme="minorHAnsi" w:cstheme="minorHAnsi"/>
        </w:rPr>
        <w:t xml:space="preserve"> with the needs outlined in the </w:t>
      </w:r>
      <w:r w:rsidR="004A1E75" w:rsidRPr="00131853">
        <w:rPr>
          <w:rFonts w:asciiTheme="minorHAnsi" w:hAnsiTheme="minorHAnsi" w:cstheme="minorHAnsi"/>
        </w:rPr>
        <w:t>RFQ</w:t>
      </w:r>
      <w:r w:rsidR="00D325BE" w:rsidRPr="00131853">
        <w:rPr>
          <w:rFonts w:asciiTheme="minorHAnsi" w:hAnsiTheme="minorHAnsi" w:cstheme="minorHAnsi"/>
        </w:rPr>
        <w:t xml:space="preserve">. The </w:t>
      </w:r>
      <w:r w:rsidR="004A1E75" w:rsidRPr="00131853">
        <w:rPr>
          <w:rFonts w:asciiTheme="minorHAnsi" w:hAnsiTheme="minorHAnsi" w:cstheme="minorHAnsi"/>
        </w:rPr>
        <w:t>RFQ</w:t>
      </w:r>
      <w:r w:rsidR="00D325BE" w:rsidRPr="00131853">
        <w:rPr>
          <w:rFonts w:asciiTheme="minorHAnsi" w:hAnsiTheme="minorHAnsi" w:cstheme="minorHAnsi"/>
        </w:rPr>
        <w:t xml:space="preserve"> is open to all </w:t>
      </w:r>
      <w:r w:rsidR="004122EB">
        <w:rPr>
          <w:rFonts w:asciiTheme="minorHAnsi" w:hAnsiTheme="minorHAnsi" w:cstheme="minorHAnsi"/>
        </w:rPr>
        <w:t xml:space="preserve">qualified </w:t>
      </w:r>
      <w:r w:rsidR="00F04FEB" w:rsidRPr="00131853">
        <w:rPr>
          <w:rFonts w:asciiTheme="minorHAnsi" w:hAnsiTheme="minorHAnsi" w:cstheme="minorHAnsi"/>
        </w:rPr>
        <w:t>environmental professionals (QEPs)</w:t>
      </w:r>
      <w:r w:rsidR="00D325BE" w:rsidRPr="00131853">
        <w:rPr>
          <w:rFonts w:asciiTheme="minorHAnsi" w:hAnsiTheme="minorHAnsi" w:cstheme="minorHAnsi"/>
        </w:rPr>
        <w:t xml:space="preserve"> capable and qualified to meet the objectives and requirements described in this document. </w:t>
      </w:r>
      <w:r w:rsidR="008461D7" w:rsidRPr="00131853">
        <w:rPr>
          <w:rFonts w:asciiTheme="minorHAnsi" w:hAnsiTheme="minorHAnsi" w:cstheme="minorHAnsi"/>
        </w:rPr>
        <w:t xml:space="preserve"> </w:t>
      </w:r>
    </w:p>
    <w:p w14:paraId="1DC889CE" w14:textId="77777777" w:rsidR="00D325BE" w:rsidRPr="00131853" w:rsidRDefault="00D325BE" w:rsidP="00D325BE">
      <w:pPr>
        <w:pStyle w:val="Default"/>
        <w:rPr>
          <w:rFonts w:asciiTheme="minorHAnsi" w:hAnsiTheme="minorHAnsi" w:cstheme="minorHAnsi"/>
        </w:rPr>
      </w:pPr>
    </w:p>
    <w:p w14:paraId="28BA5A5D" w14:textId="154F9199" w:rsidR="00D325BE" w:rsidRPr="00131853" w:rsidRDefault="004122EB" w:rsidP="004122EB">
      <w:pPr>
        <w:pStyle w:val="Default"/>
        <w:rPr>
          <w:rFonts w:asciiTheme="minorHAnsi" w:hAnsiTheme="minorHAnsi" w:cstheme="minorHAnsi"/>
        </w:rPr>
      </w:pPr>
      <w:r w:rsidRPr="004122EB">
        <w:rPr>
          <w:rFonts w:asciiTheme="minorHAnsi" w:hAnsiTheme="minorHAnsi" w:cstheme="minorHAnsi"/>
        </w:rPr>
        <w:t xml:space="preserve">Only proposals received no later than </w:t>
      </w:r>
      <w:r w:rsidRPr="00F87052">
        <w:rPr>
          <w:rFonts w:asciiTheme="minorHAnsi" w:hAnsiTheme="minorHAnsi" w:cstheme="minorHAnsi"/>
          <w:b/>
          <w:bCs/>
          <w:u w:val="single"/>
        </w:rPr>
        <w:t>12:00 pm</w:t>
      </w:r>
      <w:r w:rsidRPr="004122EB">
        <w:rPr>
          <w:rFonts w:asciiTheme="minorHAnsi" w:hAnsiTheme="minorHAnsi" w:cstheme="minorHAnsi"/>
          <w:b/>
          <w:bCs/>
          <w:u w:val="single"/>
        </w:rPr>
        <w:t xml:space="preserve"> on </w:t>
      </w:r>
      <w:r w:rsidR="00542DB2">
        <w:rPr>
          <w:rFonts w:asciiTheme="minorHAnsi" w:hAnsiTheme="minorHAnsi" w:cstheme="minorHAnsi"/>
          <w:b/>
          <w:bCs/>
          <w:u w:val="single"/>
        </w:rPr>
        <w:t xml:space="preserve">October </w:t>
      </w:r>
      <w:r w:rsidR="001F2751">
        <w:rPr>
          <w:rFonts w:asciiTheme="minorHAnsi" w:hAnsiTheme="minorHAnsi" w:cstheme="minorHAnsi"/>
          <w:b/>
          <w:bCs/>
          <w:u w:val="single"/>
        </w:rPr>
        <w:t>27</w:t>
      </w:r>
      <w:r w:rsidR="00542DB2">
        <w:rPr>
          <w:rFonts w:asciiTheme="minorHAnsi" w:hAnsiTheme="minorHAnsi" w:cstheme="minorHAnsi"/>
          <w:b/>
          <w:bCs/>
          <w:u w:val="single"/>
        </w:rPr>
        <w:t xml:space="preserve">, </w:t>
      </w:r>
      <w:proofErr w:type="gramStart"/>
      <w:r w:rsidR="00542DB2">
        <w:rPr>
          <w:rFonts w:asciiTheme="minorHAnsi" w:hAnsiTheme="minorHAnsi" w:cstheme="minorHAnsi"/>
          <w:b/>
          <w:bCs/>
          <w:u w:val="single"/>
        </w:rPr>
        <w:t>2025</w:t>
      </w:r>
      <w:proofErr w:type="gramEnd"/>
      <w:r w:rsidRPr="004122EB">
        <w:rPr>
          <w:rFonts w:asciiTheme="minorHAnsi" w:hAnsiTheme="minorHAnsi" w:cstheme="minorHAnsi"/>
        </w:rPr>
        <w:t xml:space="preserve"> will be considered</w:t>
      </w:r>
      <w:r>
        <w:rPr>
          <w:rFonts w:asciiTheme="minorHAnsi" w:hAnsiTheme="minorHAnsi" w:cstheme="minorHAnsi"/>
        </w:rPr>
        <w:t>.</w:t>
      </w:r>
      <w:r w:rsidRPr="004122EB">
        <w:rPr>
          <w:rFonts w:asciiTheme="minorHAnsi" w:hAnsiTheme="minorHAnsi" w:cstheme="minorHAnsi"/>
        </w:rPr>
        <w:t xml:space="preserve"> </w:t>
      </w:r>
      <w:r w:rsidR="00341B1E">
        <w:rPr>
          <w:rFonts w:asciiTheme="minorHAnsi" w:hAnsiTheme="minorHAnsi" w:cstheme="minorHAnsi"/>
        </w:rPr>
        <w:t xml:space="preserve">The </w:t>
      </w:r>
      <w:proofErr w:type="gramStart"/>
      <w:r w:rsidR="00341B1E">
        <w:rPr>
          <w:rFonts w:asciiTheme="minorHAnsi" w:hAnsiTheme="minorHAnsi" w:cstheme="minorHAnsi"/>
        </w:rPr>
        <w:t>City</w:t>
      </w:r>
      <w:proofErr w:type="gramEnd"/>
      <w:r w:rsidR="00341B1E">
        <w:rPr>
          <w:rFonts w:asciiTheme="minorHAnsi" w:hAnsiTheme="minorHAnsi" w:cstheme="minorHAnsi"/>
        </w:rPr>
        <w:t xml:space="preserve"> will assess each submittal based on the criteria and details in this RFQ and rank all proposal responses. </w:t>
      </w:r>
      <w:r w:rsidR="000B4B99" w:rsidRPr="000B4B99">
        <w:rPr>
          <w:rFonts w:asciiTheme="minorHAnsi" w:hAnsiTheme="minorHAnsi" w:cstheme="minorHAnsi"/>
        </w:rPr>
        <w:t xml:space="preserve">Once the selection committee has reviewed and ranked all Respondent proposals, if determined necessary, the top </w:t>
      </w:r>
      <w:r w:rsidR="00542DB2">
        <w:rPr>
          <w:rFonts w:asciiTheme="minorHAnsi" w:hAnsiTheme="minorHAnsi" w:cstheme="minorHAnsi"/>
        </w:rPr>
        <w:t>3</w:t>
      </w:r>
      <w:r w:rsidR="000B4B99" w:rsidRPr="000B4B99">
        <w:rPr>
          <w:rFonts w:asciiTheme="minorHAnsi" w:hAnsiTheme="minorHAnsi" w:cstheme="minorHAnsi"/>
        </w:rPr>
        <w:t xml:space="preserve"> scoring Respondents will be selected for an interview with the selection committee</w:t>
      </w:r>
      <w:r w:rsidRPr="004122EB">
        <w:rPr>
          <w:rFonts w:asciiTheme="minorHAnsi" w:hAnsiTheme="minorHAnsi" w:cstheme="minorHAnsi"/>
        </w:rPr>
        <w:t xml:space="preserve">.  Interviews will be held </w:t>
      </w:r>
      <w:r w:rsidRPr="001F2751">
        <w:rPr>
          <w:rFonts w:asciiTheme="minorHAnsi" w:hAnsiTheme="minorHAnsi" w:cstheme="minorHAnsi"/>
        </w:rPr>
        <w:t xml:space="preserve">during the week of </w:t>
      </w:r>
      <w:r w:rsidR="001F2751">
        <w:rPr>
          <w:rFonts w:asciiTheme="minorHAnsi" w:hAnsiTheme="minorHAnsi" w:cstheme="minorHAnsi"/>
        </w:rPr>
        <w:t>November 3</w:t>
      </w:r>
      <w:r w:rsidR="00542DB2" w:rsidRPr="001F2751">
        <w:rPr>
          <w:rFonts w:asciiTheme="minorHAnsi" w:hAnsiTheme="minorHAnsi" w:cstheme="minorHAnsi"/>
        </w:rPr>
        <w:t xml:space="preserve">, </w:t>
      </w:r>
      <w:proofErr w:type="gramStart"/>
      <w:r w:rsidR="00542DB2" w:rsidRPr="001F2751">
        <w:rPr>
          <w:rFonts w:asciiTheme="minorHAnsi" w:hAnsiTheme="minorHAnsi" w:cstheme="minorHAnsi"/>
        </w:rPr>
        <w:t>2025</w:t>
      </w:r>
      <w:proofErr w:type="gramEnd"/>
      <w:r w:rsidRPr="004122EB">
        <w:rPr>
          <w:rFonts w:asciiTheme="minorHAnsi" w:hAnsiTheme="minorHAnsi" w:cstheme="minorHAnsi"/>
        </w:rPr>
        <w:t xml:space="preserve"> with specific date and time to be determined</w:t>
      </w:r>
      <w:r w:rsidR="00F87052">
        <w:rPr>
          <w:rFonts w:asciiTheme="minorHAnsi" w:hAnsiTheme="minorHAnsi" w:cstheme="minorHAnsi"/>
        </w:rPr>
        <w:t xml:space="preserve"> but anticipated to be early in the week</w:t>
      </w:r>
      <w:r w:rsidR="00D325BE" w:rsidRPr="00131853">
        <w:rPr>
          <w:rFonts w:asciiTheme="minorHAnsi" w:hAnsiTheme="minorHAnsi" w:cstheme="minorHAnsi"/>
        </w:rPr>
        <w:t xml:space="preserve">.  </w:t>
      </w:r>
    </w:p>
    <w:p w14:paraId="10297ABA" w14:textId="77777777" w:rsidR="00931F47" w:rsidRPr="00131853" w:rsidRDefault="00931F47" w:rsidP="00D325BE">
      <w:pPr>
        <w:pStyle w:val="Default"/>
        <w:rPr>
          <w:rFonts w:asciiTheme="minorHAnsi" w:hAnsiTheme="minorHAnsi" w:cstheme="minorHAnsi"/>
          <w:sz w:val="22"/>
          <w:szCs w:val="22"/>
        </w:rPr>
      </w:pPr>
    </w:p>
    <w:p w14:paraId="433ACAD2" w14:textId="4D292598" w:rsidR="004122EB" w:rsidRPr="004122EB" w:rsidRDefault="004122EB" w:rsidP="00D325BE">
      <w:pPr>
        <w:pStyle w:val="Default"/>
        <w:rPr>
          <w:rFonts w:asciiTheme="minorHAnsi" w:hAnsiTheme="minorHAnsi" w:cstheme="minorHAnsi"/>
          <w:bCs/>
        </w:rPr>
      </w:pPr>
      <w:r w:rsidRPr="004122EB">
        <w:rPr>
          <w:rFonts w:asciiTheme="minorHAnsi" w:hAnsiTheme="minorHAnsi" w:cstheme="minorHAnsi"/>
          <w:bCs/>
        </w:rPr>
        <w:t xml:space="preserve">Questions must be submitted via email to </w:t>
      </w:r>
      <w:r w:rsidR="00542DB2">
        <w:rPr>
          <w:rFonts w:asciiTheme="minorHAnsi" w:hAnsiTheme="minorHAnsi" w:cstheme="minorHAnsi"/>
          <w:bCs/>
        </w:rPr>
        <w:t>Jenna Wertman,</w:t>
      </w:r>
      <w:r w:rsidRPr="004122EB">
        <w:rPr>
          <w:rFonts w:asciiTheme="minorHAnsi" w:hAnsiTheme="minorHAnsi" w:cstheme="minorHAnsi"/>
          <w:bCs/>
        </w:rPr>
        <w:t xml:space="preserve"> </w:t>
      </w:r>
      <w:r w:rsidR="00542DB2">
        <w:rPr>
          <w:rFonts w:asciiTheme="minorHAnsi" w:hAnsiTheme="minorHAnsi" w:cstheme="minorHAnsi"/>
          <w:bCs/>
        </w:rPr>
        <w:t>jenna.wertman@greenfieldin.org</w:t>
      </w:r>
      <w:r w:rsidRPr="004122EB">
        <w:rPr>
          <w:rFonts w:asciiTheme="minorHAnsi" w:hAnsiTheme="minorHAnsi" w:cstheme="minorHAnsi"/>
          <w:bCs/>
        </w:rPr>
        <w:t xml:space="preserve">, by </w:t>
      </w:r>
      <w:r w:rsidR="00542DB2" w:rsidRPr="001F2751">
        <w:rPr>
          <w:rFonts w:ascii="Calibri" w:eastAsia="Calibri" w:hAnsi="Calibri" w:cs="Times New Roman"/>
        </w:rPr>
        <w:t xml:space="preserve">October </w:t>
      </w:r>
      <w:r w:rsidR="001F2751">
        <w:rPr>
          <w:rFonts w:ascii="Calibri" w:eastAsia="Calibri" w:hAnsi="Calibri" w:cs="Times New Roman"/>
        </w:rPr>
        <w:t>13</w:t>
      </w:r>
      <w:r w:rsidR="00542DB2" w:rsidRPr="001F2751">
        <w:rPr>
          <w:rFonts w:ascii="Calibri" w:eastAsia="Calibri" w:hAnsi="Calibri" w:cs="Times New Roman"/>
        </w:rPr>
        <w:t xml:space="preserve">, </w:t>
      </w:r>
      <w:proofErr w:type="gramStart"/>
      <w:r w:rsidR="00542DB2" w:rsidRPr="001F2751">
        <w:rPr>
          <w:rFonts w:ascii="Calibri" w:eastAsia="Calibri" w:hAnsi="Calibri" w:cs="Times New Roman"/>
        </w:rPr>
        <w:t>2025</w:t>
      </w:r>
      <w:proofErr w:type="gramEnd"/>
      <w:r w:rsidR="00542DB2" w:rsidRPr="001F2751">
        <w:rPr>
          <w:rFonts w:ascii="Calibri" w:eastAsia="Calibri" w:hAnsi="Calibri" w:cs="Times New Roman"/>
        </w:rPr>
        <w:t xml:space="preserve"> by 12:00 pm EST.</w:t>
      </w:r>
      <w:r w:rsidR="00542DB2" w:rsidRPr="004122EB">
        <w:rPr>
          <w:rFonts w:asciiTheme="minorHAnsi" w:hAnsiTheme="minorHAnsi" w:cstheme="minorHAnsi"/>
          <w:bCs/>
        </w:rPr>
        <w:t xml:space="preserve"> </w:t>
      </w:r>
      <w:r w:rsidRPr="004122EB">
        <w:rPr>
          <w:rFonts w:asciiTheme="minorHAnsi" w:hAnsiTheme="minorHAnsi" w:cstheme="minorHAnsi"/>
          <w:bCs/>
        </w:rPr>
        <w:t>Questions and written responses will be provided to all interested Respondents, via email.  It is the Respondent’s responsibility to provide a current email address</w:t>
      </w:r>
      <w:r>
        <w:rPr>
          <w:rFonts w:asciiTheme="minorHAnsi" w:hAnsiTheme="minorHAnsi" w:cstheme="minorHAnsi"/>
          <w:bCs/>
        </w:rPr>
        <w:t>.</w:t>
      </w:r>
    </w:p>
    <w:p w14:paraId="28906423" w14:textId="77777777" w:rsidR="004122EB" w:rsidRDefault="004122EB" w:rsidP="00D325BE">
      <w:pPr>
        <w:pStyle w:val="Default"/>
        <w:rPr>
          <w:rFonts w:asciiTheme="minorHAnsi" w:hAnsiTheme="minorHAnsi" w:cstheme="minorHAnsi"/>
          <w:b/>
          <w:sz w:val="28"/>
          <w:szCs w:val="28"/>
        </w:rPr>
      </w:pPr>
    </w:p>
    <w:p w14:paraId="2255FC5A" w14:textId="15178AF6" w:rsidR="00D325BE" w:rsidRPr="00131853" w:rsidRDefault="00D325BE" w:rsidP="00D325BE">
      <w:pPr>
        <w:pStyle w:val="Default"/>
        <w:rPr>
          <w:rFonts w:asciiTheme="minorHAnsi" w:hAnsiTheme="minorHAnsi" w:cstheme="minorHAnsi"/>
          <w:b/>
          <w:sz w:val="28"/>
          <w:szCs w:val="28"/>
        </w:rPr>
      </w:pPr>
      <w:r w:rsidRPr="00131853">
        <w:rPr>
          <w:rFonts w:asciiTheme="minorHAnsi" w:hAnsiTheme="minorHAnsi" w:cstheme="minorHAnsi"/>
          <w:b/>
          <w:sz w:val="28"/>
          <w:szCs w:val="28"/>
        </w:rPr>
        <w:t>Background</w:t>
      </w:r>
    </w:p>
    <w:p w14:paraId="4BC718BF" w14:textId="4D6DDE00" w:rsidR="00F6609F" w:rsidRDefault="00542DB2" w:rsidP="00D325BE">
      <w:pPr>
        <w:pStyle w:val="Default"/>
        <w:rPr>
          <w:rFonts w:asciiTheme="minorHAnsi" w:hAnsiTheme="minorHAnsi" w:cstheme="minorHAnsi"/>
        </w:rPr>
      </w:pPr>
      <w:r>
        <w:rPr>
          <w:rFonts w:asciiTheme="minorHAnsi" w:hAnsiTheme="minorHAnsi" w:cstheme="minorHAnsi"/>
        </w:rPr>
        <w:t>T</w:t>
      </w:r>
      <w:r w:rsidR="00D325BE" w:rsidRPr="00131853">
        <w:rPr>
          <w:rFonts w:asciiTheme="minorHAnsi" w:hAnsiTheme="minorHAnsi" w:cstheme="minorHAnsi"/>
        </w:rPr>
        <w:t xml:space="preserve">he </w:t>
      </w:r>
      <w:proofErr w:type="gramStart"/>
      <w:r w:rsidR="003D66AF" w:rsidRPr="00542DB2">
        <w:rPr>
          <w:rFonts w:asciiTheme="minorHAnsi" w:hAnsiTheme="minorHAnsi" w:cstheme="minorHAnsi"/>
        </w:rPr>
        <w:t>City</w:t>
      </w:r>
      <w:proofErr w:type="gramEnd"/>
      <w:r w:rsidR="00D325BE" w:rsidRPr="00131853">
        <w:rPr>
          <w:rFonts w:asciiTheme="minorHAnsi" w:hAnsiTheme="minorHAnsi" w:cstheme="minorHAnsi"/>
        </w:rPr>
        <w:t xml:space="preserve"> </w:t>
      </w:r>
      <w:r>
        <w:rPr>
          <w:rFonts w:asciiTheme="minorHAnsi" w:hAnsiTheme="minorHAnsi" w:cstheme="minorHAnsi"/>
        </w:rPr>
        <w:t>has been</w:t>
      </w:r>
      <w:r w:rsidR="00A82F6C">
        <w:rPr>
          <w:rFonts w:asciiTheme="minorHAnsi" w:hAnsiTheme="minorHAnsi" w:cstheme="minorHAnsi"/>
        </w:rPr>
        <w:t xml:space="preserve"> awarded a </w:t>
      </w:r>
      <w:r w:rsidR="00567877" w:rsidRPr="00131853">
        <w:rPr>
          <w:rFonts w:asciiTheme="minorHAnsi" w:hAnsiTheme="minorHAnsi" w:cstheme="minorHAnsi"/>
        </w:rPr>
        <w:t xml:space="preserve">brownfields </w:t>
      </w:r>
      <w:r w:rsidR="003D66AF">
        <w:rPr>
          <w:rFonts w:asciiTheme="minorHAnsi" w:hAnsiTheme="minorHAnsi" w:cstheme="minorHAnsi"/>
        </w:rPr>
        <w:t>community-wide</w:t>
      </w:r>
      <w:r w:rsidR="00A82F6C">
        <w:rPr>
          <w:rFonts w:asciiTheme="minorHAnsi" w:hAnsiTheme="minorHAnsi" w:cstheme="minorHAnsi"/>
        </w:rPr>
        <w:t xml:space="preserve"> </w:t>
      </w:r>
      <w:r w:rsidR="00567877" w:rsidRPr="00131853">
        <w:rPr>
          <w:rFonts w:asciiTheme="minorHAnsi" w:hAnsiTheme="minorHAnsi" w:cstheme="minorHAnsi"/>
        </w:rPr>
        <w:t xml:space="preserve">assessment </w:t>
      </w:r>
      <w:r w:rsidR="00D325BE" w:rsidRPr="00131853">
        <w:rPr>
          <w:rFonts w:asciiTheme="minorHAnsi" w:hAnsiTheme="minorHAnsi" w:cstheme="minorHAnsi"/>
        </w:rPr>
        <w:t xml:space="preserve">grant from the </w:t>
      </w:r>
      <w:r w:rsidR="00A82F6C">
        <w:rPr>
          <w:rFonts w:asciiTheme="minorHAnsi" w:hAnsiTheme="minorHAnsi" w:cstheme="minorHAnsi"/>
        </w:rPr>
        <w:t xml:space="preserve">U.S. </w:t>
      </w:r>
      <w:r w:rsidR="00D325BE" w:rsidRPr="00131853">
        <w:rPr>
          <w:rFonts w:asciiTheme="minorHAnsi" w:hAnsiTheme="minorHAnsi" w:cstheme="minorHAnsi"/>
        </w:rPr>
        <w:t>Environmental Protection Agency for assessmen</w:t>
      </w:r>
      <w:r w:rsidR="00A82F6C">
        <w:rPr>
          <w:rFonts w:asciiTheme="minorHAnsi" w:hAnsiTheme="minorHAnsi" w:cstheme="minorHAnsi"/>
        </w:rPr>
        <w:t>t</w:t>
      </w:r>
      <w:r w:rsidR="00D325BE" w:rsidRPr="00131853">
        <w:rPr>
          <w:rFonts w:asciiTheme="minorHAnsi" w:hAnsiTheme="minorHAnsi" w:cstheme="minorHAnsi"/>
        </w:rPr>
        <w:t xml:space="preserve"> of sites</w:t>
      </w:r>
      <w:r w:rsidR="00A82F6C">
        <w:rPr>
          <w:rFonts w:asciiTheme="minorHAnsi" w:hAnsiTheme="minorHAnsi" w:cstheme="minorHAnsi"/>
        </w:rPr>
        <w:t xml:space="preserve"> </w:t>
      </w:r>
      <w:r w:rsidR="00D325BE" w:rsidRPr="00131853">
        <w:rPr>
          <w:rFonts w:asciiTheme="minorHAnsi" w:hAnsiTheme="minorHAnsi" w:cstheme="minorHAnsi"/>
        </w:rPr>
        <w:t xml:space="preserve">affected by </w:t>
      </w:r>
      <w:r w:rsidR="00D325BE" w:rsidRPr="00F6609F">
        <w:rPr>
          <w:rFonts w:asciiTheme="minorHAnsi" w:hAnsiTheme="minorHAnsi" w:cstheme="minorHAnsi"/>
        </w:rPr>
        <w:t>petroleum and/or hazardous</w:t>
      </w:r>
      <w:r w:rsidR="00D325BE" w:rsidRPr="00131853">
        <w:rPr>
          <w:rFonts w:asciiTheme="minorHAnsi" w:hAnsiTheme="minorHAnsi" w:cstheme="minorHAnsi"/>
        </w:rPr>
        <w:t xml:space="preserve"> </w:t>
      </w:r>
      <w:r w:rsidR="00A82F6C">
        <w:rPr>
          <w:rFonts w:asciiTheme="minorHAnsi" w:hAnsiTheme="minorHAnsi" w:cstheme="minorHAnsi"/>
        </w:rPr>
        <w:t xml:space="preserve">material substances and perform </w:t>
      </w:r>
      <w:r w:rsidR="00F6609F">
        <w:rPr>
          <w:rFonts w:asciiTheme="minorHAnsi" w:hAnsiTheme="minorHAnsi" w:cstheme="minorHAnsi"/>
        </w:rPr>
        <w:t xml:space="preserve">community engagement, planning, and management of the grant. </w:t>
      </w:r>
      <w:r w:rsidR="00E901DD">
        <w:rPr>
          <w:rFonts w:asciiTheme="minorHAnsi" w:hAnsiTheme="minorHAnsi" w:cstheme="minorHAnsi"/>
        </w:rPr>
        <w:t>A</w:t>
      </w:r>
      <w:r w:rsidR="00F6609F">
        <w:rPr>
          <w:rFonts w:asciiTheme="minorHAnsi" w:hAnsiTheme="minorHAnsi" w:cstheme="minorHAnsi"/>
        </w:rPr>
        <w:t>ll</w:t>
      </w:r>
      <w:r w:rsidR="00E901DD">
        <w:rPr>
          <w:rFonts w:asciiTheme="minorHAnsi" w:hAnsiTheme="minorHAnsi" w:cstheme="minorHAnsi"/>
        </w:rPr>
        <w:t xml:space="preserve"> activities are expected to be completed in </w:t>
      </w:r>
      <w:r w:rsidR="00F87052">
        <w:rPr>
          <w:rFonts w:asciiTheme="minorHAnsi" w:hAnsiTheme="minorHAnsi" w:cstheme="minorHAnsi"/>
        </w:rPr>
        <w:t xml:space="preserve">the second half of </w:t>
      </w:r>
      <w:r w:rsidR="00F6609F">
        <w:rPr>
          <w:rFonts w:asciiTheme="minorHAnsi" w:hAnsiTheme="minorHAnsi" w:cstheme="minorHAnsi"/>
        </w:rPr>
        <w:t xml:space="preserve">2029 </w:t>
      </w:r>
      <w:r w:rsidR="00E901DD">
        <w:rPr>
          <w:rFonts w:asciiTheme="minorHAnsi" w:hAnsiTheme="minorHAnsi" w:cstheme="minorHAnsi"/>
        </w:rPr>
        <w:t xml:space="preserve">to enable timely submission of final reports/documentation. </w:t>
      </w:r>
      <w:r w:rsidR="00E901DD" w:rsidRPr="00131853">
        <w:rPr>
          <w:rFonts w:asciiTheme="minorHAnsi" w:hAnsiTheme="minorHAnsi" w:cstheme="minorHAnsi"/>
        </w:rPr>
        <w:t xml:space="preserve"> </w:t>
      </w:r>
      <w:r w:rsidR="007C0F40">
        <w:rPr>
          <w:rFonts w:asciiTheme="minorHAnsi" w:hAnsiTheme="minorHAnsi" w:cstheme="minorHAnsi"/>
        </w:rPr>
        <w:t xml:space="preserve">Costs will need to be allocated </w:t>
      </w:r>
      <w:r w:rsidR="007C0F40">
        <w:rPr>
          <w:rFonts w:asciiTheme="minorHAnsi" w:hAnsiTheme="minorHAnsi" w:cstheme="minorHAnsi"/>
        </w:rPr>
        <w:lastRenderedPageBreak/>
        <w:t xml:space="preserve">among the various tasks, as </w:t>
      </w:r>
      <w:r w:rsidR="00E901DD">
        <w:rPr>
          <w:rFonts w:asciiTheme="minorHAnsi" w:hAnsiTheme="minorHAnsi" w:cstheme="minorHAnsi"/>
        </w:rPr>
        <w:t>appropriate,</w:t>
      </w:r>
      <w:r w:rsidR="007C0F40">
        <w:rPr>
          <w:rFonts w:asciiTheme="minorHAnsi" w:hAnsiTheme="minorHAnsi" w:cstheme="minorHAnsi"/>
        </w:rPr>
        <w:t xml:space="preserve"> and all assessment activities must meet federal and state requirements. </w:t>
      </w:r>
    </w:p>
    <w:p w14:paraId="07625603" w14:textId="77777777" w:rsidR="00F6609F" w:rsidRDefault="00F6609F" w:rsidP="00D325BE">
      <w:pPr>
        <w:pStyle w:val="Default"/>
        <w:rPr>
          <w:rFonts w:asciiTheme="minorHAnsi" w:hAnsiTheme="minorHAnsi" w:cstheme="minorHAnsi"/>
        </w:rPr>
      </w:pPr>
    </w:p>
    <w:p w14:paraId="598E60D9" w14:textId="300D4023" w:rsidR="007C0F40" w:rsidRDefault="007C0F40" w:rsidP="00D325BE">
      <w:pPr>
        <w:pStyle w:val="Default"/>
        <w:rPr>
          <w:rFonts w:asciiTheme="minorHAnsi" w:hAnsiTheme="minorHAnsi" w:cstheme="minorHAnsi"/>
        </w:rPr>
      </w:pPr>
      <w:r>
        <w:rPr>
          <w:rFonts w:asciiTheme="minorHAnsi" w:hAnsiTheme="minorHAnsi" w:cstheme="minorHAnsi"/>
        </w:rPr>
        <w:t>The approximate budget breakdown is as follows:</w:t>
      </w:r>
    </w:p>
    <w:p w14:paraId="60EC1396" w14:textId="54991AA8" w:rsidR="00E901DD" w:rsidRPr="00E901DD" w:rsidRDefault="003D66AF" w:rsidP="00E901DD">
      <w:pPr>
        <w:spacing w:after="0" w:line="240" w:lineRule="auto"/>
        <w:rPr>
          <w:rFonts w:asciiTheme="minorHAnsi" w:hAnsiTheme="minorHAnsi" w:cstheme="minorHAnsi"/>
        </w:rPr>
      </w:pPr>
      <w:r>
        <w:rPr>
          <w:rFonts w:asciiTheme="minorHAnsi" w:hAnsiTheme="minorHAnsi" w:cstheme="minorHAnsi"/>
          <w:b/>
          <w:bCs/>
        </w:rPr>
        <w:t>City</w:t>
      </w:r>
      <w:r w:rsidR="00E901DD">
        <w:rPr>
          <w:rFonts w:asciiTheme="minorHAnsi" w:hAnsiTheme="minorHAnsi" w:cstheme="minorHAnsi"/>
          <w:b/>
          <w:bCs/>
        </w:rPr>
        <w:t xml:space="preserve"> </w:t>
      </w:r>
      <w:r w:rsidR="00E7275D">
        <w:rPr>
          <w:rFonts w:asciiTheme="minorHAnsi" w:hAnsiTheme="minorHAnsi" w:cstheme="minorHAnsi"/>
          <w:b/>
          <w:bCs/>
        </w:rPr>
        <w:t xml:space="preserve">Community-wide </w:t>
      </w:r>
      <w:r w:rsidR="00E901DD">
        <w:rPr>
          <w:rFonts w:asciiTheme="minorHAnsi" w:hAnsiTheme="minorHAnsi" w:cstheme="minorHAnsi"/>
          <w:b/>
          <w:bCs/>
        </w:rPr>
        <w:t>Assessment</w:t>
      </w:r>
      <w:r w:rsidR="00E901DD" w:rsidRPr="00E901DD">
        <w:rPr>
          <w:rFonts w:asciiTheme="minorHAnsi" w:hAnsiTheme="minorHAnsi" w:cstheme="minorHAnsi"/>
          <w:b/>
          <w:bCs/>
        </w:rPr>
        <w:t xml:space="preserve"> Grant</w:t>
      </w:r>
      <w:r w:rsidR="00E901DD" w:rsidRPr="00E901DD">
        <w:rPr>
          <w:rFonts w:asciiTheme="minorHAnsi" w:hAnsiTheme="minorHAnsi" w:cstheme="minorHAnsi"/>
        </w:rPr>
        <w:t>: $</w:t>
      </w:r>
      <w:r w:rsidR="001F2751">
        <w:rPr>
          <w:rFonts w:asciiTheme="minorHAnsi" w:hAnsiTheme="minorHAnsi" w:cstheme="minorHAnsi"/>
        </w:rPr>
        <w:t>400,000</w:t>
      </w:r>
    </w:p>
    <w:p w14:paraId="5BB854CE" w14:textId="3355E35B" w:rsidR="00E901DD" w:rsidRPr="00E901DD" w:rsidRDefault="00E901DD" w:rsidP="00E901DD">
      <w:pPr>
        <w:spacing w:after="0" w:line="240" w:lineRule="auto"/>
        <w:rPr>
          <w:rFonts w:asciiTheme="minorHAnsi" w:hAnsiTheme="minorHAnsi" w:cstheme="minorHAnsi"/>
        </w:rPr>
      </w:pPr>
      <w:r w:rsidRPr="00E901DD">
        <w:rPr>
          <w:rFonts w:asciiTheme="minorHAnsi" w:hAnsiTheme="minorHAnsi" w:cstheme="minorHAnsi"/>
        </w:rPr>
        <w:t>Expires 9/30/202</w:t>
      </w:r>
      <w:r w:rsidR="00F87052">
        <w:rPr>
          <w:rFonts w:asciiTheme="minorHAnsi" w:hAnsiTheme="minorHAnsi" w:cstheme="minorHAnsi"/>
        </w:rPr>
        <w:t>9</w:t>
      </w:r>
    </w:p>
    <w:p w14:paraId="499A5194" w14:textId="3476DFFE" w:rsidR="00E901DD" w:rsidRPr="00F6609F" w:rsidRDefault="00E901DD" w:rsidP="00E901DD">
      <w:pPr>
        <w:spacing w:after="0" w:line="240" w:lineRule="auto"/>
        <w:rPr>
          <w:rFonts w:asciiTheme="minorHAnsi" w:hAnsiTheme="minorHAnsi" w:cstheme="minorHAnsi"/>
        </w:rPr>
      </w:pPr>
      <w:r w:rsidRPr="00F6609F">
        <w:rPr>
          <w:rFonts w:asciiTheme="minorHAnsi" w:hAnsiTheme="minorHAnsi" w:cstheme="minorHAnsi"/>
        </w:rPr>
        <w:t>~$</w:t>
      </w:r>
      <w:r w:rsidR="00F6609F" w:rsidRPr="00F6609F">
        <w:rPr>
          <w:rFonts w:asciiTheme="minorHAnsi" w:hAnsiTheme="minorHAnsi" w:cstheme="minorHAnsi"/>
        </w:rPr>
        <w:t>325,200</w:t>
      </w:r>
      <w:r w:rsidRPr="00F6609F">
        <w:rPr>
          <w:rFonts w:asciiTheme="minorHAnsi" w:hAnsiTheme="minorHAnsi" w:cstheme="minorHAnsi"/>
        </w:rPr>
        <w:t xml:space="preserve"> for assessment activities</w:t>
      </w:r>
    </w:p>
    <w:p w14:paraId="40388670" w14:textId="294E1A17" w:rsidR="00E901DD" w:rsidRPr="00F6609F" w:rsidRDefault="00E901DD" w:rsidP="00E901DD">
      <w:pPr>
        <w:spacing w:after="0" w:line="240" w:lineRule="auto"/>
        <w:rPr>
          <w:rFonts w:asciiTheme="minorHAnsi" w:hAnsiTheme="minorHAnsi" w:cstheme="minorHAnsi"/>
        </w:rPr>
      </w:pPr>
      <w:r w:rsidRPr="00F6609F">
        <w:rPr>
          <w:rFonts w:asciiTheme="minorHAnsi" w:hAnsiTheme="minorHAnsi" w:cstheme="minorHAnsi"/>
        </w:rPr>
        <w:t>~$</w:t>
      </w:r>
      <w:r w:rsidR="00F6609F" w:rsidRPr="00F6609F">
        <w:rPr>
          <w:rFonts w:asciiTheme="minorHAnsi" w:hAnsiTheme="minorHAnsi" w:cstheme="minorHAnsi"/>
        </w:rPr>
        <w:t>16,100</w:t>
      </w:r>
      <w:r w:rsidRPr="00F6609F">
        <w:rPr>
          <w:rFonts w:asciiTheme="minorHAnsi" w:hAnsiTheme="minorHAnsi" w:cstheme="minorHAnsi"/>
        </w:rPr>
        <w:t xml:space="preserve"> for community outreach services</w:t>
      </w:r>
    </w:p>
    <w:p w14:paraId="4DE77D06" w14:textId="2E714539" w:rsidR="00E901DD" w:rsidRPr="00F6609F" w:rsidRDefault="00E901DD" w:rsidP="00E901DD">
      <w:pPr>
        <w:spacing w:after="0" w:line="240" w:lineRule="auto"/>
        <w:rPr>
          <w:rFonts w:asciiTheme="minorHAnsi" w:hAnsiTheme="minorHAnsi" w:cstheme="minorHAnsi"/>
        </w:rPr>
      </w:pPr>
      <w:r w:rsidRPr="00F6609F">
        <w:rPr>
          <w:rFonts w:asciiTheme="minorHAnsi" w:hAnsiTheme="minorHAnsi" w:cstheme="minorHAnsi"/>
        </w:rPr>
        <w:t>~$</w:t>
      </w:r>
      <w:r w:rsidR="00F6609F" w:rsidRPr="00F6609F">
        <w:rPr>
          <w:rFonts w:asciiTheme="minorHAnsi" w:hAnsiTheme="minorHAnsi" w:cstheme="minorHAnsi"/>
        </w:rPr>
        <w:t>30,000</w:t>
      </w:r>
      <w:r w:rsidRPr="00F6609F">
        <w:rPr>
          <w:rFonts w:asciiTheme="minorHAnsi" w:hAnsiTheme="minorHAnsi" w:cstheme="minorHAnsi"/>
        </w:rPr>
        <w:t xml:space="preserve"> for planning activities</w:t>
      </w:r>
    </w:p>
    <w:p w14:paraId="6DEAB9F0" w14:textId="0B2B9E9D" w:rsidR="00E901DD" w:rsidRPr="00E901DD" w:rsidRDefault="00E901DD" w:rsidP="00E901DD">
      <w:pPr>
        <w:pStyle w:val="Default"/>
        <w:rPr>
          <w:rFonts w:asciiTheme="minorHAnsi" w:hAnsiTheme="minorHAnsi" w:cstheme="minorHAnsi"/>
        </w:rPr>
      </w:pPr>
      <w:r w:rsidRPr="00F6609F">
        <w:rPr>
          <w:rFonts w:asciiTheme="minorHAnsi" w:hAnsiTheme="minorHAnsi" w:cstheme="minorHAnsi"/>
        </w:rPr>
        <w:t>~$</w:t>
      </w:r>
      <w:r w:rsidR="00F6609F" w:rsidRPr="00F6609F">
        <w:rPr>
          <w:rFonts w:asciiTheme="minorHAnsi" w:hAnsiTheme="minorHAnsi" w:cstheme="minorHAnsi"/>
        </w:rPr>
        <w:t>28,700</w:t>
      </w:r>
      <w:r w:rsidRPr="00F6609F">
        <w:rPr>
          <w:rFonts w:asciiTheme="minorHAnsi" w:hAnsiTheme="minorHAnsi" w:cstheme="minorHAnsi"/>
        </w:rPr>
        <w:t xml:space="preserve"> for program management</w:t>
      </w:r>
    </w:p>
    <w:p w14:paraId="5A4FB7BF" w14:textId="77777777" w:rsidR="00E901DD" w:rsidRPr="00E901DD" w:rsidRDefault="00E901DD" w:rsidP="00D325BE">
      <w:pPr>
        <w:pStyle w:val="Default"/>
        <w:rPr>
          <w:rFonts w:asciiTheme="minorHAnsi" w:hAnsiTheme="minorHAnsi" w:cstheme="minorHAnsi"/>
        </w:rPr>
      </w:pPr>
    </w:p>
    <w:p w14:paraId="776583E4" w14:textId="61F6F115" w:rsidR="00D26A49" w:rsidRPr="00131853" w:rsidRDefault="0026007C" w:rsidP="00FB441D">
      <w:pPr>
        <w:spacing w:after="0" w:line="240" w:lineRule="auto"/>
        <w:rPr>
          <w:rFonts w:asciiTheme="minorHAnsi" w:hAnsiTheme="minorHAnsi" w:cstheme="minorHAnsi"/>
          <w:szCs w:val="24"/>
        </w:rPr>
      </w:pPr>
      <w:r w:rsidRPr="00131853">
        <w:rPr>
          <w:rFonts w:asciiTheme="minorHAnsi" w:hAnsiTheme="minorHAnsi" w:cstheme="minorHAnsi"/>
          <w:szCs w:val="24"/>
        </w:rPr>
        <w:t xml:space="preserve">The </w:t>
      </w:r>
      <w:proofErr w:type="gramStart"/>
      <w:r w:rsidR="003D66AF" w:rsidRPr="00F6609F">
        <w:rPr>
          <w:rFonts w:asciiTheme="minorHAnsi" w:hAnsiTheme="minorHAnsi" w:cstheme="minorHAnsi"/>
          <w:szCs w:val="24"/>
        </w:rPr>
        <w:t>City</w:t>
      </w:r>
      <w:proofErr w:type="gramEnd"/>
      <w:r w:rsidR="00D26A49" w:rsidRPr="00131853">
        <w:rPr>
          <w:rFonts w:asciiTheme="minorHAnsi" w:hAnsiTheme="minorHAnsi" w:cstheme="minorHAnsi"/>
          <w:szCs w:val="24"/>
        </w:rPr>
        <w:t xml:space="preserve"> anticipates the selected </w:t>
      </w:r>
      <w:r w:rsidR="00567877" w:rsidRPr="00131853">
        <w:rPr>
          <w:rFonts w:asciiTheme="minorHAnsi" w:hAnsiTheme="minorHAnsi" w:cstheme="minorHAnsi"/>
          <w:szCs w:val="24"/>
        </w:rPr>
        <w:t xml:space="preserve">Respondent </w:t>
      </w:r>
      <w:r w:rsidR="00D26A49" w:rsidRPr="00131853">
        <w:rPr>
          <w:rFonts w:asciiTheme="minorHAnsi" w:hAnsiTheme="minorHAnsi" w:cstheme="minorHAnsi"/>
          <w:szCs w:val="24"/>
        </w:rPr>
        <w:t>will achieve the following goals outlined within the Brownfields Assessment Program:</w:t>
      </w:r>
    </w:p>
    <w:p w14:paraId="0C81C541" w14:textId="0F5FFC0E" w:rsidR="00D26A49" w:rsidRPr="00131853" w:rsidRDefault="00D26A49" w:rsidP="00D26A49">
      <w:pPr>
        <w:pStyle w:val="ListParagraph"/>
        <w:numPr>
          <w:ilvl w:val="0"/>
          <w:numId w:val="1"/>
        </w:numPr>
        <w:spacing w:after="0" w:line="240" w:lineRule="auto"/>
        <w:rPr>
          <w:rFonts w:asciiTheme="minorHAnsi" w:hAnsiTheme="minorHAnsi" w:cstheme="minorHAnsi"/>
          <w:szCs w:val="24"/>
        </w:rPr>
      </w:pPr>
      <w:r w:rsidRPr="00131853">
        <w:rPr>
          <w:rFonts w:asciiTheme="minorHAnsi" w:hAnsiTheme="minorHAnsi" w:cstheme="minorHAnsi"/>
          <w:szCs w:val="24"/>
        </w:rPr>
        <w:t xml:space="preserve">Work with </w:t>
      </w:r>
      <w:r w:rsidR="00757E2C" w:rsidRPr="00131853">
        <w:rPr>
          <w:rFonts w:asciiTheme="minorHAnsi" w:hAnsiTheme="minorHAnsi" w:cstheme="minorHAnsi"/>
          <w:szCs w:val="24"/>
        </w:rPr>
        <w:t xml:space="preserve">the </w:t>
      </w:r>
      <w:r w:rsidR="003D66AF">
        <w:rPr>
          <w:rFonts w:asciiTheme="minorHAnsi" w:hAnsiTheme="minorHAnsi" w:cstheme="minorHAnsi"/>
          <w:szCs w:val="24"/>
        </w:rPr>
        <w:t>City</w:t>
      </w:r>
      <w:r w:rsidR="00F6609F">
        <w:rPr>
          <w:rFonts w:asciiTheme="minorHAnsi" w:hAnsiTheme="minorHAnsi" w:cstheme="minorHAnsi"/>
          <w:szCs w:val="24"/>
        </w:rPr>
        <w:t xml:space="preserve"> </w:t>
      </w:r>
      <w:r w:rsidR="00FF0EED">
        <w:rPr>
          <w:rFonts w:asciiTheme="minorHAnsi" w:hAnsiTheme="minorHAnsi" w:cstheme="minorHAnsi"/>
          <w:szCs w:val="24"/>
        </w:rPr>
        <w:t xml:space="preserve">and </w:t>
      </w:r>
      <w:r w:rsidRPr="00131853">
        <w:rPr>
          <w:rFonts w:asciiTheme="minorHAnsi" w:hAnsiTheme="minorHAnsi" w:cstheme="minorHAnsi"/>
          <w:szCs w:val="24"/>
        </w:rPr>
        <w:t xml:space="preserve">the EPA </w:t>
      </w:r>
      <w:r w:rsidR="003B495A" w:rsidRPr="00131853">
        <w:rPr>
          <w:rFonts w:asciiTheme="minorHAnsi" w:hAnsiTheme="minorHAnsi" w:cstheme="minorHAnsi"/>
          <w:szCs w:val="24"/>
        </w:rPr>
        <w:t xml:space="preserve">to finalize the list of sites to be assessed based on need and financial availability/grant </w:t>
      </w:r>
      <w:r w:rsidR="00757E2C" w:rsidRPr="00131853">
        <w:rPr>
          <w:rFonts w:asciiTheme="minorHAnsi" w:hAnsiTheme="minorHAnsi" w:cstheme="minorHAnsi"/>
          <w:szCs w:val="24"/>
        </w:rPr>
        <w:t>capacity.</w:t>
      </w:r>
    </w:p>
    <w:p w14:paraId="6979192A" w14:textId="77777777" w:rsidR="003B495A" w:rsidRPr="00131853" w:rsidRDefault="003B495A" w:rsidP="00D26A49">
      <w:pPr>
        <w:pStyle w:val="ListParagraph"/>
        <w:numPr>
          <w:ilvl w:val="0"/>
          <w:numId w:val="1"/>
        </w:numPr>
        <w:spacing w:after="0" w:line="240" w:lineRule="auto"/>
        <w:rPr>
          <w:rFonts w:asciiTheme="minorHAnsi" w:hAnsiTheme="minorHAnsi" w:cstheme="minorHAnsi"/>
          <w:szCs w:val="24"/>
        </w:rPr>
      </w:pPr>
      <w:r w:rsidRPr="00131853">
        <w:rPr>
          <w:rFonts w:asciiTheme="minorHAnsi" w:hAnsiTheme="minorHAnsi" w:cstheme="minorHAnsi"/>
          <w:szCs w:val="24"/>
        </w:rPr>
        <w:t>Complete thorough Phase I and Phase II assessments on the selected parcels to determine the scope and extent of contamination of each site.</w:t>
      </w:r>
    </w:p>
    <w:p w14:paraId="65C75631" w14:textId="7DB73EE0" w:rsidR="003B495A" w:rsidRPr="00131853" w:rsidRDefault="003B495A" w:rsidP="00D26A49">
      <w:pPr>
        <w:pStyle w:val="ListParagraph"/>
        <w:numPr>
          <w:ilvl w:val="0"/>
          <w:numId w:val="1"/>
        </w:numPr>
        <w:spacing w:after="0" w:line="240" w:lineRule="auto"/>
        <w:rPr>
          <w:rFonts w:asciiTheme="minorHAnsi" w:hAnsiTheme="minorHAnsi" w:cstheme="minorHAnsi"/>
          <w:szCs w:val="24"/>
        </w:rPr>
      </w:pPr>
      <w:r w:rsidRPr="00131853">
        <w:rPr>
          <w:rFonts w:asciiTheme="minorHAnsi" w:hAnsiTheme="minorHAnsi" w:cstheme="minorHAnsi"/>
          <w:szCs w:val="24"/>
        </w:rPr>
        <w:t>Develop cost-effective and efficient scenarios for cleanup and remediation, as necessary, for the sites.</w:t>
      </w:r>
    </w:p>
    <w:p w14:paraId="0F64A4B3" w14:textId="7E45EF4E" w:rsidR="0055529B" w:rsidRPr="00131853" w:rsidRDefault="0055529B" w:rsidP="00D26A49">
      <w:pPr>
        <w:pStyle w:val="ListParagraph"/>
        <w:numPr>
          <w:ilvl w:val="0"/>
          <w:numId w:val="1"/>
        </w:numPr>
        <w:spacing w:after="0" w:line="240" w:lineRule="auto"/>
        <w:rPr>
          <w:rFonts w:asciiTheme="minorHAnsi" w:hAnsiTheme="minorHAnsi" w:cstheme="minorHAnsi"/>
          <w:szCs w:val="24"/>
        </w:rPr>
      </w:pPr>
      <w:r w:rsidRPr="00131853">
        <w:rPr>
          <w:rFonts w:asciiTheme="minorHAnsi" w:hAnsiTheme="minorHAnsi" w:cstheme="minorHAnsi"/>
          <w:szCs w:val="24"/>
        </w:rPr>
        <w:t xml:space="preserve">Perform area wide planning activities including educational site visits, public meetings and summary of site redevelopment profiles. </w:t>
      </w:r>
    </w:p>
    <w:p w14:paraId="2B429242" w14:textId="77777777" w:rsidR="00FB441D" w:rsidRPr="00131853" w:rsidRDefault="00FB441D" w:rsidP="00F45400">
      <w:pPr>
        <w:spacing w:after="0" w:line="240" w:lineRule="auto"/>
        <w:rPr>
          <w:rFonts w:asciiTheme="minorHAnsi" w:hAnsiTheme="minorHAnsi" w:cstheme="minorHAnsi"/>
          <w:szCs w:val="24"/>
        </w:rPr>
      </w:pPr>
    </w:p>
    <w:p w14:paraId="33F1BC81" w14:textId="5DED101B" w:rsidR="00F45400" w:rsidRPr="00131853" w:rsidRDefault="00F45400" w:rsidP="00F45400">
      <w:pPr>
        <w:spacing w:after="0" w:line="240" w:lineRule="auto"/>
        <w:rPr>
          <w:rFonts w:asciiTheme="minorHAnsi" w:hAnsiTheme="minorHAnsi" w:cstheme="minorHAnsi"/>
          <w:b/>
          <w:sz w:val="28"/>
          <w:szCs w:val="28"/>
        </w:rPr>
      </w:pPr>
      <w:r w:rsidRPr="00131853">
        <w:rPr>
          <w:rFonts w:asciiTheme="minorHAnsi" w:hAnsiTheme="minorHAnsi" w:cstheme="minorHAnsi"/>
          <w:b/>
          <w:sz w:val="28"/>
          <w:szCs w:val="28"/>
        </w:rPr>
        <w:t>Scope of Work</w:t>
      </w:r>
      <w:r w:rsidR="008B65E4" w:rsidRPr="00131853">
        <w:rPr>
          <w:rFonts w:asciiTheme="minorHAnsi" w:hAnsiTheme="minorHAnsi" w:cstheme="minorHAnsi"/>
          <w:b/>
          <w:sz w:val="28"/>
          <w:szCs w:val="28"/>
        </w:rPr>
        <w:t xml:space="preserve"> </w:t>
      </w:r>
    </w:p>
    <w:p w14:paraId="5BD96220" w14:textId="2FC2738D" w:rsidR="00F45400" w:rsidRPr="00131853" w:rsidRDefault="00F45400" w:rsidP="00F45400">
      <w:pPr>
        <w:spacing w:after="0" w:line="240" w:lineRule="auto"/>
        <w:rPr>
          <w:rFonts w:asciiTheme="minorHAnsi" w:hAnsiTheme="minorHAnsi" w:cstheme="minorHAnsi"/>
          <w:szCs w:val="24"/>
        </w:rPr>
      </w:pPr>
      <w:r w:rsidRPr="00131853">
        <w:rPr>
          <w:rFonts w:asciiTheme="minorHAnsi" w:hAnsiTheme="minorHAnsi" w:cstheme="minorHAnsi"/>
          <w:szCs w:val="24"/>
        </w:rPr>
        <w:t xml:space="preserve">The proposed scope of work under this </w:t>
      </w:r>
      <w:r w:rsidR="004A1E75" w:rsidRPr="00131853">
        <w:rPr>
          <w:rFonts w:asciiTheme="minorHAnsi" w:hAnsiTheme="minorHAnsi" w:cstheme="minorHAnsi"/>
          <w:szCs w:val="24"/>
        </w:rPr>
        <w:t>RFQP</w:t>
      </w:r>
      <w:r w:rsidRPr="00131853">
        <w:rPr>
          <w:rFonts w:asciiTheme="minorHAnsi" w:hAnsiTheme="minorHAnsi" w:cstheme="minorHAnsi"/>
          <w:szCs w:val="24"/>
        </w:rPr>
        <w:t xml:space="preserve"> consists of </w:t>
      </w:r>
      <w:r w:rsidR="00DF0834" w:rsidRPr="00131853">
        <w:rPr>
          <w:rFonts w:asciiTheme="minorHAnsi" w:hAnsiTheme="minorHAnsi" w:cstheme="minorHAnsi"/>
          <w:szCs w:val="24"/>
        </w:rPr>
        <w:t xml:space="preserve">working with the </w:t>
      </w:r>
      <w:r w:rsidR="003D66AF" w:rsidRPr="00FD4F47">
        <w:rPr>
          <w:rFonts w:asciiTheme="minorHAnsi" w:hAnsiTheme="minorHAnsi" w:cstheme="minorHAnsi"/>
          <w:szCs w:val="24"/>
        </w:rPr>
        <w:t>City</w:t>
      </w:r>
      <w:r w:rsidR="00FF0EED" w:rsidRPr="00FD4F47">
        <w:rPr>
          <w:rFonts w:asciiTheme="minorHAnsi" w:hAnsiTheme="minorHAnsi" w:cstheme="minorHAnsi"/>
          <w:szCs w:val="24"/>
        </w:rPr>
        <w:t>’s</w:t>
      </w:r>
      <w:r w:rsidR="00DF0834" w:rsidRPr="00131853">
        <w:rPr>
          <w:rFonts w:asciiTheme="minorHAnsi" w:hAnsiTheme="minorHAnsi" w:cstheme="minorHAnsi"/>
          <w:szCs w:val="24"/>
        </w:rPr>
        <w:t xml:space="preserve"> Project Manager to </w:t>
      </w:r>
      <w:r w:rsidRPr="00131853">
        <w:rPr>
          <w:rFonts w:asciiTheme="minorHAnsi" w:hAnsiTheme="minorHAnsi" w:cstheme="minorHAnsi"/>
          <w:szCs w:val="24"/>
        </w:rPr>
        <w:t>provid</w:t>
      </w:r>
      <w:r w:rsidR="00DF0834" w:rsidRPr="00131853">
        <w:rPr>
          <w:rFonts w:asciiTheme="minorHAnsi" w:hAnsiTheme="minorHAnsi" w:cstheme="minorHAnsi"/>
          <w:szCs w:val="24"/>
        </w:rPr>
        <w:t>e:</w:t>
      </w:r>
    </w:p>
    <w:p w14:paraId="3D96477B" w14:textId="6D0DA529" w:rsidR="00485B19" w:rsidRDefault="00485B19" w:rsidP="00755E2E">
      <w:pPr>
        <w:numPr>
          <w:ilvl w:val="0"/>
          <w:numId w:val="2"/>
        </w:numPr>
        <w:tabs>
          <w:tab w:val="clear" w:pos="1080"/>
        </w:tabs>
        <w:spacing w:after="0" w:line="240" w:lineRule="auto"/>
        <w:ind w:left="720"/>
        <w:jc w:val="both"/>
        <w:rPr>
          <w:rFonts w:asciiTheme="minorHAnsi" w:hAnsiTheme="minorHAnsi" w:cstheme="minorHAnsi"/>
          <w:szCs w:val="24"/>
        </w:rPr>
      </w:pPr>
      <w:r w:rsidRPr="00FF0EED">
        <w:rPr>
          <w:rFonts w:asciiTheme="minorHAnsi" w:hAnsiTheme="minorHAnsi" w:cstheme="minorHAnsi"/>
          <w:b/>
          <w:bCs/>
          <w:szCs w:val="24"/>
        </w:rPr>
        <w:t>Program Development and Outreach</w:t>
      </w:r>
      <w:r w:rsidRPr="00131853">
        <w:rPr>
          <w:rFonts w:asciiTheme="minorHAnsi" w:hAnsiTheme="minorHAnsi" w:cstheme="minorHAnsi"/>
          <w:szCs w:val="24"/>
        </w:rPr>
        <w:t xml:space="preserve"> </w:t>
      </w:r>
      <w:r w:rsidR="00FF0EED">
        <w:rPr>
          <w:rFonts w:asciiTheme="minorHAnsi" w:hAnsiTheme="minorHAnsi" w:cstheme="minorHAnsi"/>
          <w:szCs w:val="24"/>
        </w:rPr>
        <w:t>- Provide</w:t>
      </w:r>
      <w:r w:rsidRPr="00131853">
        <w:rPr>
          <w:rFonts w:asciiTheme="minorHAnsi" w:hAnsiTheme="minorHAnsi" w:cstheme="minorHAnsi"/>
          <w:szCs w:val="24"/>
        </w:rPr>
        <w:t xml:space="preserve"> coordination for public</w:t>
      </w:r>
      <w:r w:rsidR="00FD4F47">
        <w:rPr>
          <w:rFonts w:asciiTheme="minorHAnsi" w:hAnsiTheme="minorHAnsi" w:cstheme="minorHAnsi"/>
          <w:szCs w:val="24"/>
        </w:rPr>
        <w:t xml:space="preserve"> and/or stakeholder</w:t>
      </w:r>
      <w:r w:rsidRPr="00131853">
        <w:rPr>
          <w:rFonts w:asciiTheme="minorHAnsi" w:hAnsiTheme="minorHAnsi" w:cstheme="minorHAnsi"/>
          <w:szCs w:val="24"/>
        </w:rPr>
        <w:t xml:space="preserve"> </w:t>
      </w:r>
      <w:proofErr w:type="gramStart"/>
      <w:r w:rsidRPr="00131853">
        <w:rPr>
          <w:rFonts w:asciiTheme="minorHAnsi" w:hAnsiTheme="minorHAnsi" w:cstheme="minorHAnsi"/>
          <w:szCs w:val="24"/>
        </w:rPr>
        <w:t>meetings;</w:t>
      </w:r>
      <w:proofErr w:type="gramEnd"/>
      <w:r w:rsidRPr="00131853">
        <w:rPr>
          <w:rFonts w:asciiTheme="minorHAnsi" w:hAnsiTheme="minorHAnsi" w:cstheme="minorHAnsi"/>
          <w:szCs w:val="24"/>
        </w:rPr>
        <w:t xml:space="preserve"> </w:t>
      </w:r>
      <w:r w:rsidR="00FD4F47">
        <w:rPr>
          <w:rFonts w:asciiTheme="minorHAnsi" w:hAnsiTheme="minorHAnsi" w:cstheme="minorHAnsi"/>
          <w:szCs w:val="24"/>
        </w:rPr>
        <w:t>review</w:t>
      </w:r>
      <w:r w:rsidRPr="00131853">
        <w:rPr>
          <w:rFonts w:asciiTheme="minorHAnsi" w:hAnsiTheme="minorHAnsi" w:cstheme="minorHAnsi"/>
          <w:szCs w:val="24"/>
        </w:rPr>
        <w:t xml:space="preserve"> media releases, FAQ sheets, presentations for outreach. </w:t>
      </w:r>
      <w:r w:rsidR="00DB0808" w:rsidRPr="00131853">
        <w:rPr>
          <w:rFonts w:asciiTheme="minorHAnsi" w:hAnsiTheme="minorHAnsi" w:cstheme="minorHAnsi"/>
          <w:szCs w:val="24"/>
        </w:rPr>
        <w:t xml:space="preserve">Respondent </w:t>
      </w:r>
      <w:r w:rsidRPr="00131853">
        <w:rPr>
          <w:rFonts w:asciiTheme="minorHAnsi" w:hAnsiTheme="minorHAnsi" w:cstheme="minorHAnsi"/>
          <w:szCs w:val="24"/>
        </w:rPr>
        <w:t xml:space="preserve">will assist the </w:t>
      </w:r>
      <w:r w:rsidR="003D66AF" w:rsidRPr="00FD4F47">
        <w:rPr>
          <w:rFonts w:asciiTheme="minorHAnsi" w:hAnsiTheme="minorHAnsi" w:cstheme="minorHAnsi"/>
          <w:szCs w:val="24"/>
        </w:rPr>
        <w:t>City</w:t>
      </w:r>
      <w:r w:rsidR="00FF0EED" w:rsidRPr="00FD4F47">
        <w:rPr>
          <w:rFonts w:asciiTheme="minorHAnsi" w:hAnsiTheme="minorHAnsi" w:cstheme="minorHAnsi"/>
          <w:szCs w:val="24"/>
        </w:rPr>
        <w:t>’s</w:t>
      </w:r>
      <w:r w:rsidR="00FF0EED" w:rsidRPr="00131853">
        <w:rPr>
          <w:rFonts w:asciiTheme="minorHAnsi" w:hAnsiTheme="minorHAnsi" w:cstheme="minorHAnsi"/>
          <w:szCs w:val="24"/>
        </w:rPr>
        <w:t xml:space="preserve"> </w:t>
      </w:r>
      <w:r w:rsidR="00DF0834" w:rsidRPr="00131853">
        <w:rPr>
          <w:rFonts w:asciiTheme="minorHAnsi" w:hAnsiTheme="minorHAnsi" w:cstheme="minorHAnsi"/>
          <w:szCs w:val="24"/>
        </w:rPr>
        <w:t>Project Manager</w:t>
      </w:r>
      <w:r w:rsidRPr="00131853">
        <w:rPr>
          <w:rFonts w:asciiTheme="minorHAnsi" w:hAnsiTheme="minorHAnsi" w:cstheme="minorHAnsi"/>
          <w:szCs w:val="24"/>
        </w:rPr>
        <w:t xml:space="preserve"> in preparing quarterly and annual reports, updating the ACRES database, and other programmatic and planning activities in support of inventory, assessment, and outreach activities.</w:t>
      </w:r>
    </w:p>
    <w:p w14:paraId="61DE7E9B" w14:textId="3F8604F0" w:rsidR="00932863" w:rsidRPr="00FF0EED" w:rsidRDefault="00485B19" w:rsidP="00755E2E">
      <w:pPr>
        <w:numPr>
          <w:ilvl w:val="0"/>
          <w:numId w:val="2"/>
        </w:numPr>
        <w:tabs>
          <w:tab w:val="clear" w:pos="1080"/>
        </w:tabs>
        <w:spacing w:after="0" w:line="240" w:lineRule="auto"/>
        <w:ind w:left="720"/>
        <w:jc w:val="both"/>
        <w:rPr>
          <w:rFonts w:asciiTheme="minorHAnsi" w:hAnsiTheme="minorHAnsi" w:cstheme="minorHAnsi"/>
          <w:szCs w:val="24"/>
        </w:rPr>
      </w:pPr>
      <w:r w:rsidRPr="00FF0EED">
        <w:rPr>
          <w:rFonts w:asciiTheme="minorHAnsi" w:hAnsiTheme="minorHAnsi" w:cstheme="minorHAnsi"/>
          <w:b/>
          <w:bCs/>
          <w:szCs w:val="24"/>
        </w:rPr>
        <w:t>Brownfields Inventory and Prioritization</w:t>
      </w:r>
      <w:r w:rsidRPr="00FF0EED">
        <w:rPr>
          <w:rFonts w:asciiTheme="minorHAnsi" w:hAnsiTheme="minorHAnsi" w:cstheme="minorHAnsi"/>
          <w:szCs w:val="24"/>
        </w:rPr>
        <w:t xml:space="preserve"> </w:t>
      </w:r>
      <w:r w:rsidR="00FF0EED">
        <w:rPr>
          <w:rFonts w:asciiTheme="minorHAnsi" w:hAnsiTheme="minorHAnsi" w:cstheme="minorHAnsi"/>
          <w:szCs w:val="24"/>
        </w:rPr>
        <w:t xml:space="preserve">- </w:t>
      </w:r>
      <w:r w:rsidR="00932863" w:rsidRPr="00FF0EED">
        <w:rPr>
          <w:rFonts w:asciiTheme="minorHAnsi" w:hAnsiTheme="minorHAnsi" w:cstheme="minorHAnsi"/>
          <w:szCs w:val="24"/>
        </w:rPr>
        <w:t xml:space="preserve">Tour community, inspect sites, meet with stakeholders, collect eligibility data for sites, maintain inventory, input data into EPA’s ACRES, meet with the </w:t>
      </w:r>
      <w:r w:rsidR="003D66AF" w:rsidRPr="00FD4F47">
        <w:rPr>
          <w:rFonts w:asciiTheme="minorHAnsi" w:hAnsiTheme="minorHAnsi" w:cstheme="minorHAnsi"/>
          <w:szCs w:val="24"/>
        </w:rPr>
        <w:t>City</w:t>
      </w:r>
      <w:r w:rsidR="00932863" w:rsidRPr="00FF0EED">
        <w:rPr>
          <w:rFonts w:asciiTheme="minorHAnsi" w:hAnsiTheme="minorHAnsi" w:cstheme="minorHAnsi"/>
          <w:szCs w:val="24"/>
        </w:rPr>
        <w:t xml:space="preserve"> </w:t>
      </w:r>
      <w:r w:rsidR="00FF0EED">
        <w:rPr>
          <w:rFonts w:asciiTheme="minorHAnsi" w:hAnsiTheme="minorHAnsi" w:cstheme="minorHAnsi"/>
          <w:szCs w:val="24"/>
        </w:rPr>
        <w:t>to</w:t>
      </w:r>
      <w:r w:rsidR="00932863" w:rsidRPr="00FF0EED">
        <w:rPr>
          <w:rFonts w:asciiTheme="minorHAnsi" w:hAnsiTheme="minorHAnsi" w:cstheme="minorHAnsi"/>
          <w:szCs w:val="24"/>
        </w:rPr>
        <w:t xml:space="preserve"> </w:t>
      </w:r>
      <w:r w:rsidR="00FF0EED">
        <w:rPr>
          <w:rFonts w:asciiTheme="minorHAnsi" w:hAnsiTheme="minorHAnsi" w:cstheme="minorHAnsi"/>
          <w:szCs w:val="24"/>
        </w:rPr>
        <w:t>p</w:t>
      </w:r>
      <w:r w:rsidR="00932863" w:rsidRPr="00FF0EED">
        <w:rPr>
          <w:rFonts w:asciiTheme="minorHAnsi" w:hAnsiTheme="minorHAnsi" w:cstheme="minorHAnsi"/>
          <w:szCs w:val="24"/>
        </w:rPr>
        <w:t>rioritize sites</w:t>
      </w:r>
      <w:r w:rsidR="00FF0EED">
        <w:rPr>
          <w:rFonts w:asciiTheme="minorHAnsi" w:hAnsiTheme="minorHAnsi" w:cstheme="minorHAnsi"/>
          <w:szCs w:val="24"/>
        </w:rPr>
        <w:t xml:space="preserve"> and</w:t>
      </w:r>
      <w:r w:rsidR="00932863" w:rsidRPr="00FF0EED">
        <w:rPr>
          <w:rFonts w:asciiTheme="minorHAnsi" w:hAnsiTheme="minorHAnsi" w:cstheme="minorHAnsi"/>
          <w:szCs w:val="24"/>
        </w:rPr>
        <w:t xml:space="preserve"> document the site selection process.</w:t>
      </w:r>
    </w:p>
    <w:p w14:paraId="2FABF69F" w14:textId="46F74EA7" w:rsidR="00485B19" w:rsidRPr="00131853" w:rsidRDefault="007829A7" w:rsidP="00755E2E">
      <w:pPr>
        <w:numPr>
          <w:ilvl w:val="0"/>
          <w:numId w:val="2"/>
        </w:numPr>
        <w:tabs>
          <w:tab w:val="clear" w:pos="1080"/>
        </w:tabs>
        <w:spacing w:after="0" w:line="240" w:lineRule="auto"/>
        <w:ind w:left="720"/>
        <w:jc w:val="both"/>
        <w:rPr>
          <w:rFonts w:asciiTheme="minorHAnsi" w:hAnsiTheme="minorHAnsi" w:cstheme="minorHAnsi"/>
          <w:szCs w:val="24"/>
        </w:rPr>
      </w:pPr>
      <w:r w:rsidRPr="00FF0EED">
        <w:rPr>
          <w:rFonts w:asciiTheme="minorHAnsi" w:hAnsiTheme="minorHAnsi" w:cstheme="minorHAnsi"/>
          <w:b/>
          <w:bCs/>
          <w:szCs w:val="24"/>
        </w:rPr>
        <w:t>Quality Assurance Project Plan (</w:t>
      </w:r>
      <w:r w:rsidR="003A61F0" w:rsidRPr="00FF0EED">
        <w:rPr>
          <w:rFonts w:asciiTheme="minorHAnsi" w:hAnsiTheme="minorHAnsi" w:cstheme="minorHAnsi"/>
          <w:b/>
          <w:bCs/>
          <w:szCs w:val="24"/>
        </w:rPr>
        <w:t>QAPP</w:t>
      </w:r>
      <w:r w:rsidRPr="00FF0EED">
        <w:rPr>
          <w:rFonts w:asciiTheme="minorHAnsi" w:hAnsiTheme="minorHAnsi" w:cstheme="minorHAnsi"/>
          <w:b/>
          <w:bCs/>
          <w:szCs w:val="24"/>
        </w:rPr>
        <w:t>)</w:t>
      </w:r>
      <w:r w:rsidR="003A61F0" w:rsidRPr="00FF0EED">
        <w:rPr>
          <w:rFonts w:asciiTheme="minorHAnsi" w:hAnsiTheme="minorHAnsi" w:cstheme="minorHAnsi"/>
          <w:b/>
          <w:bCs/>
          <w:szCs w:val="24"/>
        </w:rPr>
        <w:t xml:space="preserve">, Phase </w:t>
      </w:r>
      <w:r w:rsidR="00931F47" w:rsidRPr="00FF0EED">
        <w:rPr>
          <w:rFonts w:asciiTheme="minorHAnsi" w:hAnsiTheme="minorHAnsi" w:cstheme="minorHAnsi"/>
          <w:b/>
          <w:bCs/>
          <w:szCs w:val="24"/>
        </w:rPr>
        <w:t>I</w:t>
      </w:r>
      <w:r w:rsidR="003A61F0" w:rsidRPr="00FF0EED">
        <w:rPr>
          <w:rFonts w:asciiTheme="minorHAnsi" w:hAnsiTheme="minorHAnsi" w:cstheme="minorHAnsi"/>
          <w:b/>
          <w:bCs/>
          <w:szCs w:val="24"/>
        </w:rPr>
        <w:t xml:space="preserve"> and Phase </w:t>
      </w:r>
      <w:r w:rsidR="00931F47" w:rsidRPr="00FF0EED">
        <w:rPr>
          <w:rFonts w:asciiTheme="minorHAnsi" w:hAnsiTheme="minorHAnsi" w:cstheme="minorHAnsi"/>
          <w:b/>
          <w:bCs/>
          <w:szCs w:val="24"/>
        </w:rPr>
        <w:t>II</w:t>
      </w:r>
      <w:r w:rsidR="003A61F0" w:rsidRPr="00FF0EED">
        <w:rPr>
          <w:rFonts w:asciiTheme="minorHAnsi" w:hAnsiTheme="minorHAnsi" w:cstheme="minorHAnsi"/>
          <w:b/>
          <w:bCs/>
          <w:szCs w:val="24"/>
        </w:rPr>
        <w:t xml:space="preserve"> Environmental Site Assessments</w:t>
      </w:r>
      <w:r w:rsidRPr="00FF0EED">
        <w:rPr>
          <w:rFonts w:asciiTheme="minorHAnsi" w:hAnsiTheme="minorHAnsi" w:cstheme="minorHAnsi"/>
          <w:b/>
          <w:bCs/>
          <w:szCs w:val="24"/>
        </w:rPr>
        <w:t xml:space="preserve"> (ESAs)</w:t>
      </w:r>
      <w:r w:rsidR="003A61F0" w:rsidRPr="00131853">
        <w:rPr>
          <w:rFonts w:asciiTheme="minorHAnsi" w:hAnsiTheme="minorHAnsi" w:cstheme="minorHAnsi"/>
          <w:szCs w:val="24"/>
        </w:rPr>
        <w:t xml:space="preserve"> </w:t>
      </w:r>
      <w:r w:rsidR="00FF0EED">
        <w:rPr>
          <w:rFonts w:asciiTheme="minorHAnsi" w:hAnsiTheme="minorHAnsi" w:cstheme="minorHAnsi"/>
          <w:szCs w:val="24"/>
        </w:rPr>
        <w:t>-</w:t>
      </w:r>
      <w:r w:rsidR="003A61F0" w:rsidRPr="00131853">
        <w:rPr>
          <w:rFonts w:asciiTheme="minorHAnsi" w:hAnsiTheme="minorHAnsi" w:cstheme="minorHAnsi"/>
          <w:szCs w:val="24"/>
        </w:rPr>
        <w:t xml:space="preserve"> </w:t>
      </w:r>
      <w:r w:rsidR="00B765B8" w:rsidRPr="00B765B8">
        <w:rPr>
          <w:rFonts w:asciiTheme="minorHAnsi" w:hAnsiTheme="minorHAnsi" w:cstheme="minorHAnsi"/>
          <w:szCs w:val="24"/>
        </w:rPr>
        <w:t xml:space="preserve">The </w:t>
      </w:r>
      <w:r w:rsidR="00B765B8">
        <w:rPr>
          <w:rFonts w:asciiTheme="minorHAnsi" w:hAnsiTheme="minorHAnsi" w:cstheme="minorHAnsi"/>
          <w:szCs w:val="24"/>
        </w:rPr>
        <w:t>respondent</w:t>
      </w:r>
      <w:r w:rsidR="00B765B8" w:rsidRPr="00B765B8">
        <w:rPr>
          <w:rFonts w:asciiTheme="minorHAnsi" w:hAnsiTheme="minorHAnsi" w:cstheme="minorHAnsi"/>
          <w:szCs w:val="24"/>
        </w:rPr>
        <w:t xml:space="preserve"> will prepare a Quality Assurance Project Plan (QAPP) as well as Sampling &amp; Analysis Plans/Health &amp; Safety Plans (SAPs/HASPs) for EPA approval. Once approved, the </w:t>
      </w:r>
      <w:r w:rsidR="00B765B8">
        <w:rPr>
          <w:rFonts w:asciiTheme="minorHAnsi" w:hAnsiTheme="minorHAnsi" w:cstheme="minorHAnsi"/>
          <w:szCs w:val="24"/>
        </w:rPr>
        <w:t>respondent</w:t>
      </w:r>
      <w:r w:rsidR="00B765B8" w:rsidRPr="00B765B8">
        <w:rPr>
          <w:rFonts w:asciiTheme="minorHAnsi" w:hAnsiTheme="minorHAnsi" w:cstheme="minorHAnsi"/>
          <w:szCs w:val="24"/>
        </w:rPr>
        <w:t>, directed by the City, will complete Phase II ESAs based on environmental conditions identified in the Phase I ESAs.</w:t>
      </w:r>
      <w:r w:rsidR="00B765B8">
        <w:rPr>
          <w:rFonts w:asciiTheme="minorHAnsi" w:hAnsiTheme="minorHAnsi" w:cstheme="minorHAnsi"/>
          <w:szCs w:val="24"/>
        </w:rPr>
        <w:t xml:space="preserve"> It is anticipated that the work will include up to 12 Phase I and up to 9 Phase II, subject to site size</w:t>
      </w:r>
      <w:r w:rsidR="00030903">
        <w:rPr>
          <w:rFonts w:asciiTheme="minorHAnsi" w:hAnsiTheme="minorHAnsi" w:cstheme="minorHAnsi"/>
          <w:szCs w:val="24"/>
        </w:rPr>
        <w:t>s and needs.</w:t>
      </w:r>
    </w:p>
    <w:p w14:paraId="73210454" w14:textId="5573166F" w:rsidR="00485B19" w:rsidRPr="00131853" w:rsidRDefault="003A61F0" w:rsidP="00755E2E">
      <w:pPr>
        <w:numPr>
          <w:ilvl w:val="0"/>
          <w:numId w:val="2"/>
        </w:numPr>
        <w:tabs>
          <w:tab w:val="clear" w:pos="1080"/>
        </w:tabs>
        <w:spacing w:after="0" w:line="240" w:lineRule="auto"/>
        <w:ind w:left="720"/>
        <w:jc w:val="both"/>
        <w:rPr>
          <w:rFonts w:asciiTheme="minorHAnsi" w:hAnsiTheme="minorHAnsi" w:cstheme="minorHAnsi"/>
          <w:szCs w:val="24"/>
        </w:rPr>
      </w:pPr>
      <w:r w:rsidRPr="00FF0EED">
        <w:rPr>
          <w:rFonts w:asciiTheme="minorHAnsi" w:hAnsiTheme="minorHAnsi" w:cstheme="minorHAnsi"/>
          <w:b/>
          <w:bCs/>
          <w:szCs w:val="24"/>
        </w:rPr>
        <w:t>Conduct Cleanup Planning Activities</w:t>
      </w:r>
      <w:r w:rsidRPr="00131853">
        <w:rPr>
          <w:rFonts w:asciiTheme="minorHAnsi" w:hAnsiTheme="minorHAnsi" w:cstheme="minorHAnsi"/>
          <w:szCs w:val="24"/>
        </w:rPr>
        <w:t xml:space="preserve">.  </w:t>
      </w:r>
      <w:r w:rsidR="00B765B8" w:rsidRPr="00B765B8">
        <w:rPr>
          <w:rFonts w:asciiTheme="minorHAnsi" w:hAnsiTheme="minorHAnsi" w:cstheme="minorHAnsi"/>
          <w:szCs w:val="24"/>
        </w:rPr>
        <w:t xml:space="preserve">The </w:t>
      </w:r>
      <w:r w:rsidR="00B765B8">
        <w:rPr>
          <w:rFonts w:asciiTheme="minorHAnsi" w:hAnsiTheme="minorHAnsi" w:cstheme="minorHAnsi"/>
          <w:szCs w:val="24"/>
        </w:rPr>
        <w:t>respondent</w:t>
      </w:r>
      <w:r w:rsidR="00B765B8" w:rsidRPr="00B765B8">
        <w:rPr>
          <w:rFonts w:asciiTheme="minorHAnsi" w:hAnsiTheme="minorHAnsi" w:cstheme="minorHAnsi"/>
          <w:szCs w:val="24"/>
        </w:rPr>
        <w:t xml:space="preserve">, directed by the </w:t>
      </w:r>
      <w:proofErr w:type="gramStart"/>
      <w:r w:rsidR="00B765B8" w:rsidRPr="00B765B8">
        <w:rPr>
          <w:rFonts w:asciiTheme="minorHAnsi" w:hAnsiTheme="minorHAnsi" w:cstheme="minorHAnsi"/>
          <w:szCs w:val="24"/>
        </w:rPr>
        <w:t>City</w:t>
      </w:r>
      <w:proofErr w:type="gramEnd"/>
      <w:r w:rsidR="00B765B8" w:rsidRPr="00B765B8">
        <w:rPr>
          <w:rFonts w:asciiTheme="minorHAnsi" w:hAnsiTheme="minorHAnsi" w:cstheme="minorHAnsi"/>
          <w:szCs w:val="24"/>
        </w:rPr>
        <w:t xml:space="preserve">, will prepare site specific clean-up plans/documents, remediation plans, site closure letter requests, </w:t>
      </w:r>
      <w:r w:rsidR="00B765B8" w:rsidRPr="00B765B8">
        <w:rPr>
          <w:rFonts w:asciiTheme="minorHAnsi" w:hAnsiTheme="minorHAnsi" w:cstheme="minorHAnsi"/>
          <w:szCs w:val="24"/>
        </w:rPr>
        <w:lastRenderedPageBreak/>
        <w:t>and clean-up funding development.  Plans are prepared after Phase I and II ESAs are complete, if contamination is present, and if cleanup is necessary.</w:t>
      </w:r>
    </w:p>
    <w:p w14:paraId="03C2BA0E" w14:textId="60E64C2E" w:rsidR="00B81557" w:rsidRPr="00131853" w:rsidRDefault="00B81557" w:rsidP="009A0284">
      <w:pPr>
        <w:spacing w:after="0" w:line="240" w:lineRule="auto"/>
        <w:jc w:val="both"/>
        <w:rPr>
          <w:rFonts w:asciiTheme="minorHAnsi" w:hAnsiTheme="minorHAnsi" w:cstheme="minorHAnsi"/>
          <w:szCs w:val="24"/>
        </w:rPr>
      </w:pPr>
    </w:p>
    <w:p w14:paraId="54B01129" w14:textId="77777777" w:rsidR="00B44DFB" w:rsidRPr="00131853" w:rsidRDefault="00B44DFB" w:rsidP="006030EC">
      <w:pPr>
        <w:spacing w:after="0" w:line="240" w:lineRule="auto"/>
        <w:rPr>
          <w:rFonts w:asciiTheme="minorHAnsi" w:hAnsiTheme="minorHAnsi" w:cstheme="minorHAnsi"/>
          <w:szCs w:val="24"/>
        </w:rPr>
      </w:pPr>
    </w:p>
    <w:p w14:paraId="018F3B79" w14:textId="77777777" w:rsidR="006030EC" w:rsidRPr="00131853" w:rsidRDefault="006030EC" w:rsidP="006030EC">
      <w:pPr>
        <w:spacing w:after="0" w:line="240" w:lineRule="auto"/>
        <w:rPr>
          <w:rFonts w:asciiTheme="minorHAnsi" w:hAnsiTheme="minorHAnsi" w:cstheme="minorHAnsi"/>
          <w:szCs w:val="24"/>
        </w:rPr>
      </w:pPr>
      <w:r w:rsidRPr="00131853">
        <w:rPr>
          <w:rFonts w:asciiTheme="minorHAnsi" w:hAnsiTheme="minorHAnsi" w:cstheme="minorHAnsi"/>
          <w:b/>
          <w:sz w:val="28"/>
          <w:szCs w:val="28"/>
        </w:rPr>
        <w:t>Terms, Conditions and Exceptions</w:t>
      </w:r>
    </w:p>
    <w:p w14:paraId="6EE941CF" w14:textId="186BADCE" w:rsidR="006030EC" w:rsidRPr="00131853" w:rsidRDefault="00D6510A" w:rsidP="004C5E4B">
      <w:pPr>
        <w:pStyle w:val="ListParagraph"/>
        <w:numPr>
          <w:ilvl w:val="0"/>
          <w:numId w:val="3"/>
        </w:numPr>
        <w:spacing w:before="80" w:after="0" w:line="240" w:lineRule="auto"/>
        <w:rPr>
          <w:rFonts w:asciiTheme="minorHAnsi" w:hAnsiTheme="minorHAnsi" w:cstheme="minorHAnsi"/>
          <w:szCs w:val="24"/>
        </w:rPr>
      </w:pPr>
      <w:r w:rsidRPr="00131853">
        <w:rPr>
          <w:rFonts w:asciiTheme="minorHAnsi" w:hAnsiTheme="minorHAnsi" w:cstheme="minorHAnsi"/>
          <w:szCs w:val="24"/>
        </w:rPr>
        <w:t>T</w:t>
      </w:r>
      <w:r w:rsidR="00757E2C" w:rsidRPr="00131853">
        <w:rPr>
          <w:rFonts w:asciiTheme="minorHAnsi" w:hAnsiTheme="minorHAnsi" w:cstheme="minorHAnsi"/>
          <w:szCs w:val="24"/>
        </w:rPr>
        <w:t xml:space="preserve">he </w:t>
      </w:r>
      <w:r w:rsidR="003D66AF" w:rsidRPr="00030903">
        <w:rPr>
          <w:rFonts w:asciiTheme="minorHAnsi" w:hAnsiTheme="minorHAnsi" w:cstheme="minorHAnsi"/>
          <w:szCs w:val="24"/>
        </w:rPr>
        <w:t>City</w:t>
      </w:r>
      <w:r w:rsidR="00755E2E" w:rsidRPr="00131853">
        <w:rPr>
          <w:rFonts w:asciiTheme="minorHAnsi" w:hAnsiTheme="minorHAnsi" w:cstheme="minorHAnsi"/>
          <w:szCs w:val="24"/>
        </w:rPr>
        <w:t xml:space="preserve"> </w:t>
      </w:r>
      <w:r w:rsidR="006030EC" w:rsidRPr="00131853">
        <w:rPr>
          <w:rFonts w:asciiTheme="minorHAnsi" w:hAnsiTheme="minorHAnsi" w:cstheme="minorHAnsi"/>
          <w:szCs w:val="24"/>
        </w:rPr>
        <w:t xml:space="preserve">does not create any obligation, expressed or implied, of any kind or description in issuing this </w:t>
      </w:r>
      <w:r w:rsidR="004A1E75" w:rsidRPr="00131853">
        <w:rPr>
          <w:rFonts w:asciiTheme="minorHAnsi" w:hAnsiTheme="minorHAnsi" w:cstheme="minorHAnsi"/>
          <w:szCs w:val="24"/>
        </w:rPr>
        <w:t>RFQ</w:t>
      </w:r>
      <w:r w:rsidR="006030EC" w:rsidRPr="00131853">
        <w:rPr>
          <w:rFonts w:asciiTheme="minorHAnsi" w:hAnsiTheme="minorHAnsi" w:cstheme="minorHAnsi"/>
          <w:szCs w:val="24"/>
        </w:rPr>
        <w:t xml:space="preserve"> or receiving a response. Neither this </w:t>
      </w:r>
      <w:r w:rsidR="004A1E75" w:rsidRPr="00131853">
        <w:rPr>
          <w:rFonts w:asciiTheme="minorHAnsi" w:hAnsiTheme="minorHAnsi" w:cstheme="minorHAnsi"/>
          <w:szCs w:val="24"/>
        </w:rPr>
        <w:t>RFQP</w:t>
      </w:r>
      <w:r w:rsidR="006030EC" w:rsidRPr="00131853">
        <w:rPr>
          <w:rFonts w:asciiTheme="minorHAnsi" w:hAnsiTheme="minorHAnsi" w:cstheme="minorHAnsi"/>
          <w:szCs w:val="24"/>
        </w:rPr>
        <w:t xml:space="preserve"> nor the response shall be construed as a legal offer.</w:t>
      </w:r>
    </w:p>
    <w:p w14:paraId="058E8C87" w14:textId="75F76457" w:rsidR="006030EC" w:rsidRPr="00131853" w:rsidRDefault="00D6510A" w:rsidP="004C5E4B">
      <w:pPr>
        <w:pStyle w:val="ListParagraph"/>
        <w:numPr>
          <w:ilvl w:val="0"/>
          <w:numId w:val="3"/>
        </w:numPr>
        <w:spacing w:before="80" w:after="0" w:line="240" w:lineRule="auto"/>
        <w:rPr>
          <w:rFonts w:asciiTheme="minorHAnsi" w:hAnsiTheme="minorHAnsi" w:cstheme="minorHAnsi"/>
          <w:szCs w:val="24"/>
        </w:rPr>
      </w:pPr>
      <w:r w:rsidRPr="00131853">
        <w:rPr>
          <w:rFonts w:asciiTheme="minorHAnsi" w:hAnsiTheme="minorHAnsi" w:cstheme="minorHAnsi"/>
          <w:szCs w:val="24"/>
        </w:rPr>
        <w:t>T</w:t>
      </w:r>
      <w:r w:rsidR="00757E2C" w:rsidRPr="00131853">
        <w:rPr>
          <w:rFonts w:asciiTheme="minorHAnsi" w:hAnsiTheme="minorHAnsi" w:cstheme="minorHAnsi"/>
          <w:szCs w:val="24"/>
        </w:rPr>
        <w:t xml:space="preserve">he </w:t>
      </w:r>
      <w:r w:rsidR="003D66AF" w:rsidRPr="00030903">
        <w:rPr>
          <w:rFonts w:asciiTheme="minorHAnsi" w:hAnsiTheme="minorHAnsi" w:cstheme="minorHAnsi"/>
          <w:szCs w:val="24"/>
        </w:rPr>
        <w:t>City</w:t>
      </w:r>
      <w:r w:rsidR="00755E2E" w:rsidRPr="00131853">
        <w:rPr>
          <w:rFonts w:asciiTheme="minorHAnsi" w:hAnsiTheme="minorHAnsi" w:cstheme="minorHAnsi"/>
          <w:szCs w:val="24"/>
        </w:rPr>
        <w:t xml:space="preserve"> </w:t>
      </w:r>
      <w:r w:rsidR="006030EC" w:rsidRPr="00131853">
        <w:rPr>
          <w:rFonts w:asciiTheme="minorHAnsi" w:hAnsiTheme="minorHAnsi" w:cstheme="minorHAnsi"/>
          <w:szCs w:val="24"/>
        </w:rPr>
        <w:t xml:space="preserve">reserves the right to alter, amend, or modify any provisions of this </w:t>
      </w:r>
      <w:r w:rsidR="004A1E75" w:rsidRPr="00131853">
        <w:rPr>
          <w:rFonts w:asciiTheme="minorHAnsi" w:hAnsiTheme="minorHAnsi" w:cstheme="minorHAnsi"/>
          <w:szCs w:val="24"/>
        </w:rPr>
        <w:t>RFQ</w:t>
      </w:r>
      <w:r w:rsidR="006030EC" w:rsidRPr="00131853">
        <w:rPr>
          <w:rFonts w:asciiTheme="minorHAnsi" w:hAnsiTheme="minorHAnsi" w:cstheme="minorHAnsi"/>
          <w:szCs w:val="24"/>
        </w:rPr>
        <w:t xml:space="preserve">, or to withdraw this </w:t>
      </w:r>
      <w:r w:rsidR="004A1E75" w:rsidRPr="00131853">
        <w:rPr>
          <w:rFonts w:asciiTheme="minorHAnsi" w:hAnsiTheme="minorHAnsi" w:cstheme="minorHAnsi"/>
          <w:szCs w:val="24"/>
        </w:rPr>
        <w:t>RFQ</w:t>
      </w:r>
      <w:r w:rsidR="006030EC" w:rsidRPr="00131853">
        <w:rPr>
          <w:rFonts w:asciiTheme="minorHAnsi" w:hAnsiTheme="minorHAnsi" w:cstheme="minorHAnsi"/>
          <w:szCs w:val="24"/>
        </w:rPr>
        <w:t xml:space="preserve">, at any time prior to the award of the contract resulting from qualification under this process, if it is in the best interest of </w:t>
      </w:r>
      <w:r w:rsidR="00757E2C" w:rsidRPr="00131853">
        <w:rPr>
          <w:rFonts w:asciiTheme="minorHAnsi" w:hAnsiTheme="minorHAnsi" w:cstheme="minorHAnsi"/>
          <w:szCs w:val="24"/>
        </w:rPr>
        <w:t xml:space="preserve">the </w:t>
      </w:r>
      <w:r w:rsidR="003D66AF" w:rsidRPr="00030903">
        <w:rPr>
          <w:rFonts w:asciiTheme="minorHAnsi" w:hAnsiTheme="minorHAnsi" w:cstheme="minorHAnsi"/>
          <w:szCs w:val="24"/>
        </w:rPr>
        <w:t>City</w:t>
      </w:r>
      <w:r w:rsidR="00755E2E" w:rsidRPr="00131853">
        <w:rPr>
          <w:rFonts w:asciiTheme="minorHAnsi" w:hAnsiTheme="minorHAnsi" w:cstheme="minorHAnsi"/>
          <w:szCs w:val="24"/>
        </w:rPr>
        <w:t xml:space="preserve"> </w:t>
      </w:r>
      <w:r w:rsidR="006030EC" w:rsidRPr="00131853">
        <w:rPr>
          <w:rFonts w:asciiTheme="minorHAnsi" w:hAnsiTheme="minorHAnsi" w:cstheme="minorHAnsi"/>
          <w:szCs w:val="24"/>
        </w:rPr>
        <w:t>to do so.</w:t>
      </w:r>
    </w:p>
    <w:p w14:paraId="48B1CC77" w14:textId="2ED159C3" w:rsidR="006030EC" w:rsidRPr="00131853" w:rsidRDefault="00D6510A" w:rsidP="004C5E4B">
      <w:pPr>
        <w:pStyle w:val="ListParagraph"/>
        <w:numPr>
          <w:ilvl w:val="0"/>
          <w:numId w:val="3"/>
        </w:numPr>
        <w:spacing w:before="80" w:after="0" w:line="240" w:lineRule="auto"/>
        <w:rPr>
          <w:rFonts w:asciiTheme="minorHAnsi" w:hAnsiTheme="minorHAnsi" w:cstheme="minorHAnsi"/>
          <w:szCs w:val="24"/>
        </w:rPr>
      </w:pPr>
      <w:r w:rsidRPr="00131853">
        <w:rPr>
          <w:rFonts w:asciiTheme="minorHAnsi" w:hAnsiTheme="minorHAnsi" w:cstheme="minorHAnsi"/>
          <w:szCs w:val="24"/>
        </w:rPr>
        <w:t>T</w:t>
      </w:r>
      <w:r w:rsidR="00757E2C" w:rsidRPr="00131853">
        <w:rPr>
          <w:rFonts w:asciiTheme="minorHAnsi" w:hAnsiTheme="minorHAnsi" w:cstheme="minorHAnsi"/>
          <w:szCs w:val="24"/>
        </w:rPr>
        <w:t xml:space="preserve">he </w:t>
      </w:r>
      <w:r w:rsidR="003D66AF" w:rsidRPr="00030903">
        <w:rPr>
          <w:rFonts w:asciiTheme="minorHAnsi" w:hAnsiTheme="minorHAnsi" w:cstheme="minorHAnsi"/>
          <w:szCs w:val="24"/>
        </w:rPr>
        <w:t>City</w:t>
      </w:r>
      <w:r w:rsidR="00755E2E" w:rsidRPr="00131853">
        <w:rPr>
          <w:rFonts w:asciiTheme="minorHAnsi" w:hAnsiTheme="minorHAnsi" w:cstheme="minorHAnsi"/>
          <w:szCs w:val="24"/>
        </w:rPr>
        <w:t xml:space="preserve"> </w:t>
      </w:r>
      <w:r w:rsidR="00D7355B" w:rsidRPr="00131853">
        <w:rPr>
          <w:rFonts w:asciiTheme="minorHAnsi" w:hAnsiTheme="minorHAnsi" w:cstheme="minorHAnsi"/>
          <w:szCs w:val="24"/>
        </w:rPr>
        <w:t xml:space="preserve">reserves the right to reject any and all responses without cause, waive irregularities in all procedures related to this </w:t>
      </w:r>
      <w:r w:rsidR="004A1E75" w:rsidRPr="00131853">
        <w:rPr>
          <w:rFonts w:asciiTheme="minorHAnsi" w:hAnsiTheme="minorHAnsi" w:cstheme="minorHAnsi"/>
          <w:szCs w:val="24"/>
        </w:rPr>
        <w:t>RFQ</w:t>
      </w:r>
      <w:r w:rsidR="00D7355B" w:rsidRPr="00131853">
        <w:rPr>
          <w:rFonts w:asciiTheme="minorHAnsi" w:hAnsiTheme="minorHAnsi" w:cstheme="minorHAnsi"/>
          <w:szCs w:val="24"/>
        </w:rPr>
        <w:t xml:space="preserve">, make inquiries of Respondents and their references and clients regarding qualifications or information submitted as part of their responses as deemed necessary, conduct personal interviews of any or all Respondents, and request and receive additional information as </w:t>
      </w:r>
      <w:r w:rsidR="00757E2C" w:rsidRPr="00131853">
        <w:rPr>
          <w:rFonts w:asciiTheme="minorHAnsi" w:hAnsiTheme="minorHAnsi" w:cstheme="minorHAnsi"/>
          <w:szCs w:val="24"/>
        </w:rPr>
        <w:t xml:space="preserve">the </w:t>
      </w:r>
      <w:r w:rsidR="003D66AF" w:rsidRPr="00030903">
        <w:rPr>
          <w:rFonts w:asciiTheme="minorHAnsi" w:hAnsiTheme="minorHAnsi" w:cstheme="minorHAnsi"/>
          <w:szCs w:val="24"/>
        </w:rPr>
        <w:t>City</w:t>
      </w:r>
      <w:r w:rsidR="00755E2E" w:rsidRPr="00131853">
        <w:rPr>
          <w:rFonts w:asciiTheme="minorHAnsi" w:hAnsiTheme="minorHAnsi" w:cstheme="minorHAnsi"/>
          <w:szCs w:val="24"/>
        </w:rPr>
        <w:t xml:space="preserve"> </w:t>
      </w:r>
      <w:r w:rsidR="00D7355B" w:rsidRPr="00131853">
        <w:rPr>
          <w:rFonts w:asciiTheme="minorHAnsi" w:hAnsiTheme="minorHAnsi" w:cstheme="minorHAnsi"/>
          <w:szCs w:val="24"/>
        </w:rPr>
        <w:t>deems necessary.</w:t>
      </w:r>
    </w:p>
    <w:p w14:paraId="67FDDEA0" w14:textId="306D66EE" w:rsidR="00D7355B" w:rsidRPr="00131853" w:rsidRDefault="00D7355B" w:rsidP="004C5E4B">
      <w:pPr>
        <w:pStyle w:val="ListParagraph"/>
        <w:numPr>
          <w:ilvl w:val="0"/>
          <w:numId w:val="3"/>
        </w:numPr>
        <w:spacing w:before="80" w:after="0" w:line="240" w:lineRule="auto"/>
        <w:rPr>
          <w:rFonts w:asciiTheme="minorHAnsi" w:hAnsiTheme="minorHAnsi" w:cstheme="minorHAnsi"/>
          <w:szCs w:val="24"/>
        </w:rPr>
      </w:pPr>
      <w:r w:rsidRPr="00131853">
        <w:rPr>
          <w:rFonts w:asciiTheme="minorHAnsi" w:hAnsiTheme="minorHAnsi" w:cstheme="minorHAnsi"/>
          <w:szCs w:val="24"/>
        </w:rPr>
        <w:t xml:space="preserve">Work performed under agreements resulting from this </w:t>
      </w:r>
      <w:r w:rsidR="00755E2E">
        <w:rPr>
          <w:rFonts w:asciiTheme="minorHAnsi" w:hAnsiTheme="minorHAnsi" w:cstheme="minorHAnsi"/>
          <w:szCs w:val="24"/>
        </w:rPr>
        <w:t>RFQ</w:t>
      </w:r>
      <w:r w:rsidRPr="00131853">
        <w:rPr>
          <w:rFonts w:asciiTheme="minorHAnsi" w:hAnsiTheme="minorHAnsi" w:cstheme="minorHAnsi"/>
          <w:szCs w:val="24"/>
        </w:rPr>
        <w:t xml:space="preserve"> may be subject to federal contractual provisions. </w:t>
      </w:r>
      <w:r w:rsidR="00D6510A" w:rsidRPr="00131853">
        <w:rPr>
          <w:rFonts w:asciiTheme="minorHAnsi" w:hAnsiTheme="minorHAnsi" w:cstheme="minorHAnsi"/>
          <w:szCs w:val="24"/>
        </w:rPr>
        <w:t>T</w:t>
      </w:r>
      <w:r w:rsidR="00757E2C" w:rsidRPr="00131853">
        <w:rPr>
          <w:rFonts w:asciiTheme="minorHAnsi" w:hAnsiTheme="minorHAnsi" w:cstheme="minorHAnsi"/>
          <w:szCs w:val="24"/>
        </w:rPr>
        <w:t xml:space="preserve">he </w:t>
      </w:r>
      <w:r w:rsidR="003D66AF" w:rsidRPr="00030903">
        <w:rPr>
          <w:rFonts w:asciiTheme="minorHAnsi" w:hAnsiTheme="minorHAnsi" w:cstheme="minorHAnsi"/>
          <w:szCs w:val="24"/>
        </w:rPr>
        <w:t>City</w:t>
      </w:r>
      <w:r w:rsidR="00755E2E" w:rsidRPr="00131853">
        <w:rPr>
          <w:rFonts w:asciiTheme="minorHAnsi" w:hAnsiTheme="minorHAnsi" w:cstheme="minorHAnsi"/>
          <w:szCs w:val="24"/>
        </w:rPr>
        <w:t xml:space="preserve"> </w:t>
      </w:r>
      <w:r w:rsidRPr="00131853">
        <w:rPr>
          <w:rFonts w:asciiTheme="minorHAnsi" w:hAnsiTheme="minorHAnsi" w:cstheme="minorHAnsi"/>
          <w:szCs w:val="24"/>
        </w:rPr>
        <w:t xml:space="preserve">hereby puts Respondents on notice that a successful award at the end of this process may be contingent upon an agreement between </w:t>
      </w:r>
      <w:r w:rsidR="00757E2C" w:rsidRPr="00131853">
        <w:rPr>
          <w:rFonts w:asciiTheme="minorHAnsi" w:hAnsiTheme="minorHAnsi" w:cstheme="minorHAnsi"/>
          <w:szCs w:val="24"/>
        </w:rPr>
        <w:t xml:space="preserve">the </w:t>
      </w:r>
      <w:r w:rsidR="003D66AF" w:rsidRPr="00030903">
        <w:rPr>
          <w:rFonts w:asciiTheme="minorHAnsi" w:hAnsiTheme="minorHAnsi" w:cstheme="minorHAnsi"/>
          <w:szCs w:val="24"/>
        </w:rPr>
        <w:t>City</w:t>
      </w:r>
      <w:r w:rsidR="00755E2E" w:rsidRPr="00131853">
        <w:rPr>
          <w:rFonts w:asciiTheme="minorHAnsi" w:hAnsiTheme="minorHAnsi" w:cstheme="minorHAnsi"/>
          <w:szCs w:val="24"/>
        </w:rPr>
        <w:t xml:space="preserve"> </w:t>
      </w:r>
      <w:r w:rsidRPr="00131853">
        <w:rPr>
          <w:rFonts w:asciiTheme="minorHAnsi" w:hAnsiTheme="minorHAnsi" w:cstheme="minorHAnsi"/>
          <w:szCs w:val="24"/>
        </w:rPr>
        <w:t>and the Respondent to comply with standard federal contractual provisions, including but not limited to, minimum Federal wage rates</w:t>
      </w:r>
      <w:r w:rsidR="00AC3552" w:rsidRPr="00131853">
        <w:rPr>
          <w:rFonts w:asciiTheme="minorHAnsi" w:hAnsiTheme="minorHAnsi" w:cstheme="minorHAnsi"/>
          <w:szCs w:val="24"/>
        </w:rPr>
        <w:t xml:space="preserve"> (Davis-Bacon).</w:t>
      </w:r>
    </w:p>
    <w:p w14:paraId="11528176" w14:textId="7012912C" w:rsidR="00D7355B" w:rsidRPr="00131853" w:rsidRDefault="00D7355B" w:rsidP="004C5E4B">
      <w:pPr>
        <w:pStyle w:val="ListParagraph"/>
        <w:numPr>
          <w:ilvl w:val="0"/>
          <w:numId w:val="3"/>
        </w:numPr>
        <w:spacing w:before="80" w:after="0" w:line="240" w:lineRule="auto"/>
        <w:rPr>
          <w:rFonts w:asciiTheme="minorHAnsi" w:hAnsiTheme="minorHAnsi" w:cstheme="minorHAnsi"/>
          <w:szCs w:val="24"/>
        </w:rPr>
      </w:pPr>
      <w:r w:rsidRPr="00131853">
        <w:rPr>
          <w:rFonts w:asciiTheme="minorHAnsi" w:hAnsiTheme="minorHAnsi" w:cstheme="minorHAnsi"/>
          <w:szCs w:val="24"/>
        </w:rPr>
        <w:t xml:space="preserve">In the event the </w:t>
      </w:r>
      <w:r w:rsidR="005C33A1" w:rsidRPr="00131853">
        <w:rPr>
          <w:rFonts w:asciiTheme="minorHAnsi" w:hAnsiTheme="minorHAnsi" w:cstheme="minorHAnsi"/>
          <w:szCs w:val="24"/>
        </w:rPr>
        <w:t xml:space="preserve">selected </w:t>
      </w:r>
      <w:r w:rsidRPr="00131853">
        <w:rPr>
          <w:rFonts w:asciiTheme="minorHAnsi" w:hAnsiTheme="minorHAnsi" w:cstheme="minorHAnsi"/>
          <w:szCs w:val="24"/>
        </w:rPr>
        <w:t xml:space="preserve">Respondent </w:t>
      </w:r>
      <w:r w:rsidR="005C33A1" w:rsidRPr="00131853">
        <w:rPr>
          <w:rFonts w:asciiTheme="minorHAnsi" w:hAnsiTheme="minorHAnsi" w:cstheme="minorHAnsi"/>
          <w:szCs w:val="24"/>
        </w:rPr>
        <w:t xml:space="preserve">does </w:t>
      </w:r>
      <w:r w:rsidRPr="00131853">
        <w:rPr>
          <w:rFonts w:asciiTheme="minorHAnsi" w:hAnsiTheme="minorHAnsi" w:cstheme="minorHAnsi"/>
          <w:szCs w:val="24"/>
        </w:rPr>
        <w:t>not ente</w:t>
      </w:r>
      <w:r w:rsidR="00B1524C" w:rsidRPr="00131853">
        <w:rPr>
          <w:rFonts w:asciiTheme="minorHAnsi" w:hAnsiTheme="minorHAnsi" w:cstheme="minorHAnsi"/>
          <w:szCs w:val="24"/>
        </w:rPr>
        <w:t>r into the required agreement with</w:t>
      </w:r>
      <w:r w:rsidRPr="00131853">
        <w:rPr>
          <w:rFonts w:asciiTheme="minorHAnsi" w:hAnsiTheme="minorHAnsi" w:cstheme="minorHAnsi"/>
          <w:szCs w:val="24"/>
        </w:rPr>
        <w:t xml:space="preserve"> </w:t>
      </w:r>
      <w:r w:rsidR="00757E2C" w:rsidRPr="00131853">
        <w:rPr>
          <w:rFonts w:asciiTheme="minorHAnsi" w:hAnsiTheme="minorHAnsi" w:cstheme="minorHAnsi"/>
          <w:szCs w:val="24"/>
        </w:rPr>
        <w:t xml:space="preserve">the </w:t>
      </w:r>
      <w:r w:rsidR="003D66AF" w:rsidRPr="00030903">
        <w:rPr>
          <w:rFonts w:asciiTheme="minorHAnsi" w:hAnsiTheme="minorHAnsi" w:cstheme="minorHAnsi"/>
          <w:szCs w:val="24"/>
        </w:rPr>
        <w:t>City</w:t>
      </w:r>
      <w:r w:rsidR="00755E2E" w:rsidRPr="00131853">
        <w:rPr>
          <w:rFonts w:asciiTheme="minorHAnsi" w:hAnsiTheme="minorHAnsi" w:cstheme="minorHAnsi"/>
          <w:szCs w:val="24"/>
        </w:rPr>
        <w:t xml:space="preserve"> </w:t>
      </w:r>
      <w:r w:rsidR="00B1524C" w:rsidRPr="00131853">
        <w:rPr>
          <w:rFonts w:asciiTheme="minorHAnsi" w:hAnsiTheme="minorHAnsi" w:cstheme="minorHAnsi"/>
          <w:szCs w:val="24"/>
        </w:rPr>
        <w:t>to</w:t>
      </w:r>
      <w:r w:rsidRPr="00131853">
        <w:rPr>
          <w:rFonts w:asciiTheme="minorHAnsi" w:hAnsiTheme="minorHAnsi" w:cstheme="minorHAnsi"/>
          <w:szCs w:val="24"/>
        </w:rPr>
        <w:t xml:space="preserve"> carry out the purposes described in this </w:t>
      </w:r>
      <w:r w:rsidR="004A1E75" w:rsidRPr="00131853">
        <w:rPr>
          <w:rFonts w:asciiTheme="minorHAnsi" w:hAnsiTheme="minorHAnsi" w:cstheme="minorHAnsi"/>
          <w:szCs w:val="24"/>
        </w:rPr>
        <w:t>RFQ</w:t>
      </w:r>
      <w:r w:rsidRPr="00131853">
        <w:rPr>
          <w:rFonts w:asciiTheme="minorHAnsi" w:hAnsiTheme="minorHAnsi" w:cstheme="minorHAnsi"/>
          <w:szCs w:val="24"/>
        </w:rPr>
        <w:t xml:space="preserve">, </w:t>
      </w:r>
      <w:r w:rsidR="00757E2C" w:rsidRPr="00131853">
        <w:rPr>
          <w:rFonts w:asciiTheme="minorHAnsi" w:hAnsiTheme="minorHAnsi" w:cstheme="minorHAnsi"/>
          <w:szCs w:val="24"/>
        </w:rPr>
        <w:t xml:space="preserve">the </w:t>
      </w:r>
      <w:r w:rsidR="003D66AF" w:rsidRPr="00030903">
        <w:rPr>
          <w:rFonts w:asciiTheme="minorHAnsi" w:hAnsiTheme="minorHAnsi" w:cstheme="minorHAnsi"/>
          <w:szCs w:val="24"/>
        </w:rPr>
        <w:t>City</w:t>
      </w:r>
      <w:r w:rsidR="00755E2E" w:rsidRPr="00131853">
        <w:rPr>
          <w:rFonts w:asciiTheme="minorHAnsi" w:hAnsiTheme="minorHAnsi" w:cstheme="minorHAnsi"/>
          <w:szCs w:val="24"/>
        </w:rPr>
        <w:t xml:space="preserve"> </w:t>
      </w:r>
      <w:r w:rsidRPr="00131853">
        <w:rPr>
          <w:rFonts w:asciiTheme="minorHAnsi" w:hAnsiTheme="minorHAnsi" w:cstheme="minorHAnsi"/>
          <w:szCs w:val="24"/>
        </w:rPr>
        <w:t>may, in addition to any other rights and remedies available at law or in equity, commence negotiations with another person or entity.</w:t>
      </w:r>
    </w:p>
    <w:p w14:paraId="253D3D79" w14:textId="56734051" w:rsidR="00A915CC" w:rsidRPr="00131853" w:rsidRDefault="00A915CC" w:rsidP="004C5E4B">
      <w:pPr>
        <w:pStyle w:val="ListParagraph"/>
        <w:numPr>
          <w:ilvl w:val="0"/>
          <w:numId w:val="3"/>
        </w:numPr>
        <w:spacing w:before="80" w:after="0" w:line="240" w:lineRule="auto"/>
        <w:rPr>
          <w:rFonts w:asciiTheme="minorHAnsi" w:hAnsiTheme="minorHAnsi" w:cstheme="minorHAnsi"/>
          <w:szCs w:val="24"/>
        </w:rPr>
      </w:pPr>
      <w:r w:rsidRPr="00131853">
        <w:rPr>
          <w:rFonts w:asciiTheme="minorHAnsi" w:hAnsiTheme="minorHAnsi" w:cstheme="minorHAnsi"/>
          <w:szCs w:val="24"/>
        </w:rPr>
        <w:t xml:space="preserve">In no event shall any obligation of any kind be enforceable against </w:t>
      </w:r>
      <w:r w:rsidR="00757E2C" w:rsidRPr="00131853">
        <w:rPr>
          <w:rFonts w:asciiTheme="minorHAnsi" w:hAnsiTheme="minorHAnsi" w:cstheme="minorHAnsi"/>
          <w:szCs w:val="24"/>
        </w:rPr>
        <w:t xml:space="preserve">the </w:t>
      </w:r>
      <w:r w:rsidR="003D66AF" w:rsidRPr="00030903">
        <w:rPr>
          <w:rFonts w:asciiTheme="minorHAnsi" w:hAnsiTheme="minorHAnsi" w:cstheme="minorHAnsi"/>
          <w:szCs w:val="24"/>
        </w:rPr>
        <w:t>City</w:t>
      </w:r>
      <w:r w:rsidR="00755E2E" w:rsidRPr="00131853">
        <w:rPr>
          <w:rFonts w:asciiTheme="minorHAnsi" w:hAnsiTheme="minorHAnsi" w:cstheme="minorHAnsi"/>
          <w:szCs w:val="24"/>
        </w:rPr>
        <w:t xml:space="preserve"> </w:t>
      </w:r>
      <w:r w:rsidRPr="00131853">
        <w:rPr>
          <w:rFonts w:asciiTheme="minorHAnsi" w:hAnsiTheme="minorHAnsi" w:cstheme="minorHAnsi"/>
          <w:szCs w:val="24"/>
        </w:rPr>
        <w:t>unless a written agreement has been entered into.</w:t>
      </w:r>
    </w:p>
    <w:p w14:paraId="396C07E0" w14:textId="3CBF100C" w:rsidR="00A915CC" w:rsidRPr="00131853" w:rsidRDefault="00A915CC" w:rsidP="004C5E4B">
      <w:pPr>
        <w:pStyle w:val="ListParagraph"/>
        <w:numPr>
          <w:ilvl w:val="0"/>
          <w:numId w:val="3"/>
        </w:numPr>
        <w:spacing w:before="80" w:after="0" w:line="240" w:lineRule="auto"/>
        <w:rPr>
          <w:rFonts w:asciiTheme="minorHAnsi" w:hAnsiTheme="minorHAnsi" w:cstheme="minorHAnsi"/>
          <w:szCs w:val="24"/>
        </w:rPr>
      </w:pPr>
      <w:r w:rsidRPr="00131853">
        <w:rPr>
          <w:rFonts w:asciiTheme="minorHAnsi" w:hAnsiTheme="minorHAnsi" w:cstheme="minorHAnsi"/>
          <w:szCs w:val="24"/>
        </w:rPr>
        <w:t xml:space="preserve">By submitting a response to the </w:t>
      </w:r>
      <w:r w:rsidR="004A1E75" w:rsidRPr="00131853">
        <w:rPr>
          <w:rFonts w:asciiTheme="minorHAnsi" w:hAnsiTheme="minorHAnsi" w:cstheme="minorHAnsi"/>
          <w:szCs w:val="24"/>
        </w:rPr>
        <w:t>RFQ</w:t>
      </w:r>
      <w:r w:rsidRPr="00131853">
        <w:rPr>
          <w:rFonts w:asciiTheme="minorHAnsi" w:hAnsiTheme="minorHAnsi" w:cstheme="minorHAnsi"/>
          <w:szCs w:val="24"/>
        </w:rPr>
        <w:t xml:space="preserve">, each Respondent waives all rights to </w:t>
      </w:r>
      <w:proofErr w:type="gramStart"/>
      <w:r w:rsidRPr="00131853">
        <w:rPr>
          <w:rFonts w:asciiTheme="minorHAnsi" w:hAnsiTheme="minorHAnsi" w:cstheme="minorHAnsi"/>
          <w:szCs w:val="24"/>
        </w:rPr>
        <w:t>protest, or</w:t>
      </w:r>
      <w:proofErr w:type="gramEnd"/>
      <w:r w:rsidRPr="00131853">
        <w:rPr>
          <w:rFonts w:asciiTheme="minorHAnsi" w:hAnsiTheme="minorHAnsi" w:cstheme="minorHAnsi"/>
          <w:szCs w:val="24"/>
        </w:rPr>
        <w:t xml:space="preserve"> seek remedies whatsoever regarding any aspect of this </w:t>
      </w:r>
      <w:r w:rsidR="004A1E75" w:rsidRPr="00131853">
        <w:rPr>
          <w:rFonts w:asciiTheme="minorHAnsi" w:hAnsiTheme="minorHAnsi" w:cstheme="minorHAnsi"/>
          <w:szCs w:val="24"/>
        </w:rPr>
        <w:t>RFQ</w:t>
      </w:r>
      <w:r w:rsidRPr="00131853">
        <w:rPr>
          <w:rFonts w:asciiTheme="minorHAnsi" w:hAnsiTheme="minorHAnsi" w:cstheme="minorHAnsi"/>
          <w:szCs w:val="24"/>
        </w:rPr>
        <w:t>, the selection of a Respondent or Respondents with whom to negotiate, the rejection of any or all offers to negotiate, or a decision to terminate negotiations.</w:t>
      </w:r>
    </w:p>
    <w:p w14:paraId="0076E9B5" w14:textId="08D76BF0" w:rsidR="00A915CC" w:rsidRDefault="00D6510A" w:rsidP="004C5E4B">
      <w:pPr>
        <w:pStyle w:val="ListParagraph"/>
        <w:numPr>
          <w:ilvl w:val="0"/>
          <w:numId w:val="3"/>
        </w:numPr>
        <w:spacing w:before="80" w:after="0" w:line="240" w:lineRule="auto"/>
        <w:rPr>
          <w:rFonts w:asciiTheme="minorHAnsi" w:hAnsiTheme="minorHAnsi" w:cstheme="minorHAnsi"/>
          <w:szCs w:val="24"/>
        </w:rPr>
      </w:pPr>
      <w:r w:rsidRPr="00131853">
        <w:rPr>
          <w:rFonts w:asciiTheme="minorHAnsi" w:hAnsiTheme="minorHAnsi" w:cstheme="minorHAnsi"/>
          <w:szCs w:val="24"/>
        </w:rPr>
        <w:t>T</w:t>
      </w:r>
      <w:r w:rsidR="00757E2C" w:rsidRPr="00131853">
        <w:rPr>
          <w:rFonts w:asciiTheme="minorHAnsi" w:hAnsiTheme="minorHAnsi" w:cstheme="minorHAnsi"/>
          <w:szCs w:val="24"/>
        </w:rPr>
        <w:t xml:space="preserve">he </w:t>
      </w:r>
      <w:r w:rsidR="003D66AF" w:rsidRPr="00030903">
        <w:rPr>
          <w:rFonts w:asciiTheme="minorHAnsi" w:hAnsiTheme="minorHAnsi" w:cstheme="minorHAnsi"/>
          <w:szCs w:val="24"/>
        </w:rPr>
        <w:t>City</w:t>
      </w:r>
      <w:r w:rsidR="00755E2E" w:rsidRPr="00131853">
        <w:rPr>
          <w:rFonts w:asciiTheme="minorHAnsi" w:hAnsiTheme="minorHAnsi" w:cstheme="minorHAnsi"/>
          <w:szCs w:val="24"/>
        </w:rPr>
        <w:t xml:space="preserve"> </w:t>
      </w:r>
      <w:r w:rsidR="00A915CC" w:rsidRPr="00131853">
        <w:rPr>
          <w:rFonts w:asciiTheme="minorHAnsi" w:hAnsiTheme="minorHAnsi" w:cstheme="minorHAnsi"/>
          <w:szCs w:val="24"/>
        </w:rPr>
        <w:t xml:space="preserve">will not assume any responsibility or liability for any expenses incurred by a Respondent, or prospective Respondent, in connection with the preparation or delivery of a </w:t>
      </w:r>
      <w:proofErr w:type="gramStart"/>
      <w:r w:rsidR="00A915CC" w:rsidRPr="00131853">
        <w:rPr>
          <w:rFonts w:asciiTheme="minorHAnsi" w:hAnsiTheme="minorHAnsi" w:cstheme="minorHAnsi"/>
          <w:szCs w:val="24"/>
        </w:rPr>
        <w:t>response,</w:t>
      </w:r>
      <w:proofErr w:type="gramEnd"/>
      <w:r w:rsidR="00A915CC" w:rsidRPr="00131853">
        <w:rPr>
          <w:rFonts w:asciiTheme="minorHAnsi" w:hAnsiTheme="minorHAnsi" w:cstheme="minorHAnsi"/>
          <w:szCs w:val="24"/>
        </w:rPr>
        <w:t xml:space="preserve"> requested interview, or any action related to the process of completing and submitting a response to this </w:t>
      </w:r>
      <w:r w:rsidR="004A1E75" w:rsidRPr="00131853">
        <w:rPr>
          <w:rFonts w:asciiTheme="minorHAnsi" w:hAnsiTheme="minorHAnsi" w:cstheme="minorHAnsi"/>
          <w:szCs w:val="24"/>
        </w:rPr>
        <w:t>RFQ</w:t>
      </w:r>
      <w:r w:rsidR="00A915CC" w:rsidRPr="00131853">
        <w:rPr>
          <w:rFonts w:asciiTheme="minorHAnsi" w:hAnsiTheme="minorHAnsi" w:cstheme="minorHAnsi"/>
          <w:szCs w:val="24"/>
        </w:rPr>
        <w:t>.</w:t>
      </w:r>
    </w:p>
    <w:p w14:paraId="4CB48665" w14:textId="04A256E6" w:rsidR="00094B95" w:rsidRPr="00491A4D" w:rsidRDefault="00094B95" w:rsidP="004C5E4B">
      <w:pPr>
        <w:pStyle w:val="ListParagraph"/>
        <w:numPr>
          <w:ilvl w:val="0"/>
          <w:numId w:val="3"/>
        </w:numPr>
        <w:spacing w:before="80" w:after="0" w:line="240" w:lineRule="auto"/>
        <w:rPr>
          <w:rFonts w:asciiTheme="minorHAnsi" w:hAnsiTheme="minorHAnsi" w:cstheme="minorHAnsi"/>
          <w:szCs w:val="24"/>
        </w:rPr>
      </w:pPr>
      <w:r w:rsidRPr="00131853">
        <w:rPr>
          <w:rFonts w:asciiTheme="minorHAnsi" w:hAnsiTheme="minorHAnsi" w:cstheme="minorHAnsi"/>
        </w:rPr>
        <w:t xml:space="preserve">Respondent shall disclose any existing or potential conflict of interest relative to the performance of the contractual services resulting from this RFQ. Any such relationship that might be perceived or represented as a conflict should be disclosed. By submitting a qualification in response to this RFQ, Respondents affirm that they have not given, nor intend to give at any time hereafter, any economic opportunity, future employment, gift, loan, gratuity, special discount, trip, favor, or service to a public servant of the </w:t>
      </w:r>
      <w:proofErr w:type="gramStart"/>
      <w:r w:rsidR="003D66AF" w:rsidRPr="00030903">
        <w:rPr>
          <w:rFonts w:asciiTheme="minorHAnsi" w:hAnsiTheme="minorHAnsi" w:cstheme="minorHAnsi"/>
        </w:rPr>
        <w:t>City</w:t>
      </w:r>
      <w:proofErr w:type="gramEnd"/>
      <w:r w:rsidRPr="00131853">
        <w:rPr>
          <w:rFonts w:asciiTheme="minorHAnsi" w:hAnsiTheme="minorHAnsi" w:cstheme="minorHAnsi"/>
        </w:rPr>
        <w:t xml:space="preserve"> or any employee or representative of same, in connection with this qualification </w:t>
      </w:r>
      <w:r w:rsidRPr="00131853">
        <w:rPr>
          <w:rFonts w:asciiTheme="minorHAnsi" w:hAnsiTheme="minorHAnsi" w:cstheme="minorHAnsi"/>
        </w:rPr>
        <w:lastRenderedPageBreak/>
        <w:t xml:space="preserve">process. Any attempt to intentionally or unintentionally conceal or obfuscate a conflict of interest will automatically result in the disqualification of a Respondent’s qualification. The </w:t>
      </w:r>
      <w:proofErr w:type="gramStart"/>
      <w:r w:rsidR="003D66AF" w:rsidRPr="00030903">
        <w:rPr>
          <w:rFonts w:asciiTheme="minorHAnsi" w:hAnsiTheme="minorHAnsi" w:cstheme="minorHAnsi"/>
        </w:rPr>
        <w:t>City</w:t>
      </w:r>
      <w:proofErr w:type="gramEnd"/>
      <w:r w:rsidRPr="00131853">
        <w:rPr>
          <w:rFonts w:asciiTheme="minorHAnsi" w:hAnsiTheme="minorHAnsi" w:cstheme="minorHAnsi"/>
        </w:rPr>
        <w:t xml:space="preserve"> will determine whether a conflict of interest exists and whether it may reflect negatively on the </w:t>
      </w:r>
      <w:r w:rsidR="003D66AF" w:rsidRPr="00030903">
        <w:rPr>
          <w:rFonts w:asciiTheme="minorHAnsi" w:hAnsiTheme="minorHAnsi" w:cstheme="minorHAnsi"/>
        </w:rPr>
        <w:t>City</w:t>
      </w:r>
      <w:r w:rsidRPr="00030903">
        <w:rPr>
          <w:rFonts w:asciiTheme="minorHAnsi" w:hAnsiTheme="minorHAnsi" w:cstheme="minorHAnsi"/>
        </w:rPr>
        <w:t>’s</w:t>
      </w:r>
      <w:r w:rsidRPr="00131853">
        <w:rPr>
          <w:rFonts w:asciiTheme="minorHAnsi" w:hAnsiTheme="minorHAnsi" w:cstheme="minorHAnsi"/>
        </w:rPr>
        <w:t xml:space="preserve"> selection of a Respondent. The </w:t>
      </w:r>
      <w:r w:rsidR="003D66AF">
        <w:rPr>
          <w:rFonts w:asciiTheme="minorHAnsi" w:hAnsiTheme="minorHAnsi" w:cstheme="minorHAnsi"/>
        </w:rPr>
        <w:t>City</w:t>
      </w:r>
      <w:r w:rsidRPr="00131853">
        <w:rPr>
          <w:rFonts w:asciiTheme="minorHAnsi" w:hAnsiTheme="minorHAnsi" w:cstheme="minorHAnsi"/>
        </w:rPr>
        <w:t xml:space="preserve"> reserves the right to disqualify any Respondent on the grounds of actual or apparent conflict of interest</w:t>
      </w:r>
      <w:r>
        <w:rPr>
          <w:rFonts w:asciiTheme="minorHAnsi" w:hAnsiTheme="minorHAnsi" w:cstheme="minorHAnsi"/>
        </w:rPr>
        <w:t>.</w:t>
      </w:r>
    </w:p>
    <w:p w14:paraId="3D40CBB9" w14:textId="22517037" w:rsidR="00491A4D" w:rsidRPr="00131853" w:rsidRDefault="00BA79A3" w:rsidP="004C5E4B">
      <w:pPr>
        <w:pStyle w:val="ListParagraph"/>
        <w:numPr>
          <w:ilvl w:val="0"/>
          <w:numId w:val="3"/>
        </w:numPr>
        <w:spacing w:before="80" w:after="0" w:line="240" w:lineRule="auto"/>
        <w:rPr>
          <w:rFonts w:asciiTheme="minorHAnsi" w:hAnsiTheme="minorHAnsi" w:cstheme="minorHAnsi"/>
          <w:szCs w:val="24"/>
        </w:rPr>
      </w:pPr>
      <w:r>
        <w:rPr>
          <w:rFonts w:asciiTheme="minorHAnsi" w:hAnsiTheme="minorHAnsi" w:cstheme="minorHAnsi"/>
        </w:rPr>
        <w:t xml:space="preserve">The </w:t>
      </w:r>
      <w:r w:rsidR="00A27BC5" w:rsidRPr="00030903">
        <w:rPr>
          <w:rFonts w:asciiTheme="minorHAnsi" w:hAnsiTheme="minorHAnsi" w:cstheme="minorHAnsi"/>
        </w:rPr>
        <w:t>City</w:t>
      </w:r>
      <w:r w:rsidR="00A27BC5" w:rsidRPr="00A27BC5">
        <w:rPr>
          <w:rFonts w:asciiTheme="minorHAnsi" w:hAnsiTheme="minorHAnsi" w:cstheme="minorHAnsi"/>
        </w:rPr>
        <w:t xml:space="preserve"> will own all documents, including electronic media presentations, produced </w:t>
      </w:r>
      <w:proofErr w:type="gramStart"/>
      <w:r w:rsidR="00A27BC5" w:rsidRPr="00A27BC5">
        <w:rPr>
          <w:rFonts w:asciiTheme="minorHAnsi" w:hAnsiTheme="minorHAnsi" w:cstheme="minorHAnsi"/>
        </w:rPr>
        <w:t>as a result of</w:t>
      </w:r>
      <w:proofErr w:type="gramEnd"/>
      <w:r w:rsidR="00A27BC5" w:rsidRPr="00A27BC5">
        <w:rPr>
          <w:rFonts w:asciiTheme="minorHAnsi" w:hAnsiTheme="minorHAnsi" w:cstheme="minorHAnsi"/>
        </w:rPr>
        <w:t xml:space="preserve"> the contract. The QEP may use generated documents under the signed contract only with expressive permission from the </w:t>
      </w:r>
      <w:r w:rsidR="00A27BC5" w:rsidRPr="00030903">
        <w:rPr>
          <w:rFonts w:asciiTheme="minorHAnsi" w:hAnsiTheme="minorHAnsi" w:cstheme="minorHAnsi"/>
        </w:rPr>
        <w:t>City</w:t>
      </w:r>
      <w:r w:rsidR="00A27BC5" w:rsidRPr="00A27BC5">
        <w:rPr>
          <w:rFonts w:asciiTheme="minorHAnsi" w:hAnsiTheme="minorHAnsi" w:cstheme="minorHAnsi"/>
        </w:rPr>
        <w:t>.</w:t>
      </w:r>
    </w:p>
    <w:p w14:paraId="6CF0633F" w14:textId="77777777" w:rsidR="00A915CC" w:rsidRPr="00131853" w:rsidRDefault="00A915CC" w:rsidP="00A915CC">
      <w:pPr>
        <w:spacing w:after="0" w:line="240" w:lineRule="auto"/>
        <w:rPr>
          <w:rFonts w:asciiTheme="minorHAnsi" w:hAnsiTheme="minorHAnsi" w:cstheme="minorHAnsi"/>
          <w:szCs w:val="24"/>
        </w:rPr>
      </w:pPr>
    </w:p>
    <w:p w14:paraId="5D1C6551" w14:textId="06732596" w:rsidR="00A915CC" w:rsidRPr="00131853" w:rsidRDefault="009A0284" w:rsidP="00A915CC">
      <w:pPr>
        <w:spacing w:after="0" w:line="240" w:lineRule="auto"/>
        <w:rPr>
          <w:rFonts w:asciiTheme="minorHAnsi" w:hAnsiTheme="minorHAnsi" w:cstheme="minorHAnsi"/>
          <w:sz w:val="28"/>
          <w:szCs w:val="28"/>
        </w:rPr>
      </w:pPr>
      <w:r>
        <w:rPr>
          <w:rFonts w:asciiTheme="minorHAnsi" w:hAnsiTheme="minorHAnsi" w:cstheme="minorHAnsi"/>
          <w:b/>
          <w:sz w:val="28"/>
          <w:szCs w:val="28"/>
        </w:rPr>
        <w:t>RFQ Submission Requirements</w:t>
      </w:r>
    </w:p>
    <w:p w14:paraId="6C50E698" w14:textId="28914511" w:rsidR="009A0284" w:rsidRDefault="00AC3552" w:rsidP="00A915CC">
      <w:pPr>
        <w:spacing w:after="0" w:line="240" w:lineRule="auto"/>
        <w:rPr>
          <w:rFonts w:asciiTheme="minorHAnsi" w:hAnsiTheme="minorHAnsi" w:cstheme="minorHAnsi"/>
          <w:szCs w:val="24"/>
        </w:rPr>
      </w:pPr>
      <w:r w:rsidRPr="009A0284">
        <w:rPr>
          <w:rFonts w:asciiTheme="minorHAnsi" w:hAnsiTheme="minorHAnsi" w:cstheme="minorHAnsi"/>
          <w:szCs w:val="24"/>
        </w:rPr>
        <w:t xml:space="preserve">Responses must be received </w:t>
      </w:r>
      <w:r w:rsidR="009A0284">
        <w:rPr>
          <w:rFonts w:asciiTheme="minorHAnsi" w:hAnsiTheme="minorHAnsi" w:cstheme="minorHAnsi"/>
          <w:szCs w:val="24"/>
        </w:rPr>
        <w:t xml:space="preserve">no later than </w:t>
      </w:r>
      <w:r w:rsidR="00030903" w:rsidRPr="00030903">
        <w:rPr>
          <w:rFonts w:asciiTheme="minorHAnsi" w:hAnsiTheme="minorHAnsi" w:cstheme="minorHAnsi"/>
          <w:szCs w:val="24"/>
        </w:rPr>
        <w:t>the time shown on the front page of this RFQ</w:t>
      </w:r>
      <w:r w:rsidR="00030903">
        <w:rPr>
          <w:rFonts w:asciiTheme="minorHAnsi" w:hAnsiTheme="minorHAnsi" w:cstheme="minorHAnsi"/>
          <w:b/>
          <w:bCs/>
          <w:szCs w:val="24"/>
        </w:rPr>
        <w:t xml:space="preserve"> </w:t>
      </w:r>
      <w:r w:rsidR="009A0284" w:rsidRPr="009A0284">
        <w:rPr>
          <w:rFonts w:asciiTheme="minorHAnsi" w:hAnsiTheme="minorHAnsi" w:cstheme="minorHAnsi"/>
          <w:szCs w:val="24"/>
        </w:rPr>
        <w:t>to be considered.</w:t>
      </w:r>
      <w:r w:rsidR="00661FBA" w:rsidRPr="00131853">
        <w:rPr>
          <w:rFonts w:asciiTheme="minorHAnsi" w:hAnsiTheme="minorHAnsi" w:cstheme="minorHAnsi"/>
          <w:szCs w:val="24"/>
        </w:rPr>
        <w:t xml:space="preserve"> </w:t>
      </w:r>
      <w:r w:rsidR="002C641D">
        <w:rPr>
          <w:rFonts w:asciiTheme="minorHAnsi" w:hAnsiTheme="minorHAnsi" w:cstheme="minorHAnsi"/>
          <w:szCs w:val="24"/>
        </w:rPr>
        <w:t>Respondents must submit one sealed hard copy of a written response meeting the requirements below along with 1 electronic copy in PDF.</w:t>
      </w:r>
      <w:r w:rsidR="009A0284">
        <w:rPr>
          <w:rFonts w:asciiTheme="minorHAnsi" w:hAnsiTheme="minorHAnsi" w:cstheme="minorHAnsi"/>
          <w:szCs w:val="24"/>
        </w:rPr>
        <w:t xml:space="preserve"> The proposal must include the following information. </w:t>
      </w:r>
    </w:p>
    <w:p w14:paraId="71572465" w14:textId="15020D4E" w:rsidR="009A0284" w:rsidRPr="00131853" w:rsidRDefault="009A0284" w:rsidP="004C5E4B">
      <w:pPr>
        <w:pStyle w:val="ListParagraph"/>
        <w:numPr>
          <w:ilvl w:val="0"/>
          <w:numId w:val="8"/>
        </w:numPr>
        <w:spacing w:before="80" w:after="0" w:line="240" w:lineRule="auto"/>
        <w:rPr>
          <w:rFonts w:asciiTheme="minorHAnsi" w:hAnsiTheme="minorHAnsi" w:cstheme="minorHAnsi"/>
          <w:szCs w:val="24"/>
        </w:rPr>
      </w:pPr>
      <w:r w:rsidRPr="00131853">
        <w:rPr>
          <w:rFonts w:asciiTheme="minorHAnsi" w:hAnsiTheme="minorHAnsi" w:cstheme="minorHAnsi"/>
          <w:szCs w:val="24"/>
        </w:rPr>
        <w:t>Cover Letter</w:t>
      </w:r>
      <w:r w:rsidR="00901493">
        <w:rPr>
          <w:rFonts w:asciiTheme="minorHAnsi" w:hAnsiTheme="minorHAnsi" w:cstheme="minorHAnsi"/>
          <w:szCs w:val="24"/>
        </w:rPr>
        <w:t xml:space="preserve"> </w:t>
      </w:r>
      <w:r w:rsidR="00901493" w:rsidRPr="00901493">
        <w:rPr>
          <w:rFonts w:asciiTheme="minorHAnsi" w:hAnsiTheme="minorHAnsi" w:cstheme="minorHAnsi"/>
          <w:szCs w:val="24"/>
        </w:rPr>
        <w:t xml:space="preserve">describing the Respondent’s general understanding of the scope of work and </w:t>
      </w:r>
      <w:r w:rsidR="00901493">
        <w:rPr>
          <w:rFonts w:asciiTheme="minorHAnsi" w:hAnsiTheme="minorHAnsi" w:cstheme="minorHAnsi"/>
          <w:szCs w:val="24"/>
        </w:rPr>
        <w:t xml:space="preserve">any </w:t>
      </w:r>
      <w:r w:rsidR="00901493" w:rsidRPr="00901493">
        <w:rPr>
          <w:rFonts w:asciiTheme="minorHAnsi" w:hAnsiTheme="minorHAnsi" w:cstheme="minorHAnsi"/>
          <w:szCs w:val="24"/>
        </w:rPr>
        <w:t>key issues associated with performing the required services</w:t>
      </w:r>
      <w:r w:rsidR="00901493">
        <w:rPr>
          <w:rFonts w:asciiTheme="minorHAnsi" w:hAnsiTheme="minorHAnsi" w:cstheme="minorHAnsi"/>
          <w:szCs w:val="24"/>
        </w:rPr>
        <w:t xml:space="preserve">.  The cover letter </w:t>
      </w:r>
      <w:r w:rsidR="00B14275">
        <w:rPr>
          <w:rFonts w:asciiTheme="minorHAnsi" w:hAnsiTheme="minorHAnsi" w:cstheme="minorHAnsi"/>
          <w:szCs w:val="24"/>
        </w:rPr>
        <w:t>is</w:t>
      </w:r>
      <w:r w:rsidRPr="00131853">
        <w:rPr>
          <w:rFonts w:asciiTheme="minorHAnsi" w:hAnsiTheme="minorHAnsi" w:cstheme="minorHAnsi"/>
          <w:szCs w:val="24"/>
        </w:rPr>
        <w:t xml:space="preserve"> not to exceed one page</w:t>
      </w:r>
      <w:r w:rsidR="00901493">
        <w:rPr>
          <w:rFonts w:asciiTheme="minorHAnsi" w:hAnsiTheme="minorHAnsi" w:cstheme="minorHAnsi"/>
          <w:szCs w:val="24"/>
        </w:rPr>
        <w:t xml:space="preserve">, must be </w:t>
      </w:r>
      <w:r w:rsidRPr="00131853">
        <w:rPr>
          <w:rFonts w:asciiTheme="minorHAnsi" w:hAnsiTheme="minorHAnsi" w:cstheme="minorHAnsi"/>
          <w:szCs w:val="24"/>
        </w:rPr>
        <w:t>signed by an individual(s) authorized to bind the Respondent contractually</w:t>
      </w:r>
      <w:r w:rsidR="00901493">
        <w:rPr>
          <w:rFonts w:asciiTheme="minorHAnsi" w:hAnsiTheme="minorHAnsi" w:cstheme="minorHAnsi"/>
          <w:szCs w:val="24"/>
        </w:rPr>
        <w:t xml:space="preserve">, and </w:t>
      </w:r>
      <w:r w:rsidRPr="00131853">
        <w:rPr>
          <w:rFonts w:asciiTheme="minorHAnsi" w:hAnsiTheme="minorHAnsi" w:cstheme="minorHAnsi"/>
          <w:szCs w:val="24"/>
        </w:rPr>
        <w:t xml:space="preserve">include the name, title, address, email address and telephone number of one or more individuals who can respond to requests for additional information. </w:t>
      </w:r>
    </w:p>
    <w:p w14:paraId="52792005" w14:textId="159ABF23" w:rsidR="004C5E4B" w:rsidRDefault="009A0284" w:rsidP="00B65DE7">
      <w:pPr>
        <w:pStyle w:val="Default"/>
        <w:widowControl w:val="0"/>
        <w:numPr>
          <w:ilvl w:val="0"/>
          <w:numId w:val="8"/>
        </w:numPr>
        <w:adjustRightInd w:val="0"/>
        <w:spacing w:before="80"/>
        <w:rPr>
          <w:rFonts w:asciiTheme="minorHAnsi" w:hAnsiTheme="minorHAnsi" w:cstheme="minorHAnsi"/>
        </w:rPr>
      </w:pPr>
      <w:r w:rsidRPr="004C5E4B">
        <w:rPr>
          <w:rFonts w:asciiTheme="minorHAnsi" w:hAnsiTheme="minorHAnsi" w:cstheme="minorHAnsi"/>
        </w:rPr>
        <w:t xml:space="preserve">Resumes of </w:t>
      </w:r>
      <w:r w:rsidR="00F7170E" w:rsidRPr="004C5E4B">
        <w:rPr>
          <w:rFonts w:asciiTheme="minorHAnsi" w:hAnsiTheme="minorHAnsi" w:cstheme="minorHAnsi"/>
        </w:rPr>
        <w:t xml:space="preserve">primary personnel assuming responsibilities for this project, not to exceed one (1) page per resume. </w:t>
      </w:r>
    </w:p>
    <w:p w14:paraId="2FEE8295" w14:textId="4FFB4EF1" w:rsidR="009A0284" w:rsidRPr="004C5E4B" w:rsidRDefault="00F7170E" w:rsidP="00B65DE7">
      <w:pPr>
        <w:pStyle w:val="Default"/>
        <w:widowControl w:val="0"/>
        <w:numPr>
          <w:ilvl w:val="0"/>
          <w:numId w:val="8"/>
        </w:numPr>
        <w:adjustRightInd w:val="0"/>
        <w:spacing w:before="80"/>
        <w:rPr>
          <w:rFonts w:asciiTheme="minorHAnsi" w:hAnsiTheme="minorHAnsi" w:cstheme="minorHAnsi"/>
        </w:rPr>
      </w:pPr>
      <w:r w:rsidRPr="004C5E4B">
        <w:rPr>
          <w:rFonts w:asciiTheme="minorHAnsi" w:hAnsiTheme="minorHAnsi" w:cstheme="minorHAnsi"/>
        </w:rPr>
        <w:t>D</w:t>
      </w:r>
      <w:r w:rsidR="009A0284" w:rsidRPr="004C5E4B">
        <w:rPr>
          <w:rFonts w:asciiTheme="minorHAnsi" w:hAnsiTheme="minorHAnsi" w:cstheme="minorHAnsi"/>
        </w:rPr>
        <w:t xml:space="preserve">etailed description of </w:t>
      </w:r>
      <w:r w:rsidRPr="004C5E4B">
        <w:rPr>
          <w:rFonts w:asciiTheme="minorHAnsi" w:hAnsiTheme="minorHAnsi" w:cstheme="minorHAnsi"/>
        </w:rPr>
        <w:t xml:space="preserve">Respondent’s </w:t>
      </w:r>
      <w:r w:rsidR="009A0284" w:rsidRPr="004C5E4B">
        <w:rPr>
          <w:rFonts w:asciiTheme="minorHAnsi" w:hAnsiTheme="minorHAnsi" w:cstheme="minorHAnsi"/>
        </w:rPr>
        <w:t>approach to the scope of work</w:t>
      </w:r>
      <w:r w:rsidRPr="004C5E4B">
        <w:rPr>
          <w:rFonts w:asciiTheme="minorHAnsi" w:hAnsiTheme="minorHAnsi" w:cstheme="minorHAnsi"/>
        </w:rPr>
        <w:t xml:space="preserve"> and relevant experience, not to exceed 1</w:t>
      </w:r>
      <w:r w:rsidR="00832280">
        <w:rPr>
          <w:rFonts w:asciiTheme="minorHAnsi" w:hAnsiTheme="minorHAnsi" w:cstheme="minorHAnsi"/>
        </w:rPr>
        <w:t>0</w:t>
      </w:r>
      <w:r w:rsidRPr="004C5E4B">
        <w:rPr>
          <w:rFonts w:asciiTheme="minorHAnsi" w:hAnsiTheme="minorHAnsi" w:cstheme="minorHAnsi"/>
        </w:rPr>
        <w:t xml:space="preserve"> pages including: </w:t>
      </w:r>
    </w:p>
    <w:p w14:paraId="6C145097" w14:textId="1B3E73D0" w:rsidR="009A0284" w:rsidRDefault="009A0284" w:rsidP="004C5E4B">
      <w:pPr>
        <w:pStyle w:val="ListParagraph"/>
        <w:numPr>
          <w:ilvl w:val="1"/>
          <w:numId w:val="22"/>
        </w:numPr>
        <w:spacing w:after="0" w:line="240" w:lineRule="auto"/>
        <w:ind w:left="1170" w:hanging="270"/>
        <w:rPr>
          <w:rFonts w:asciiTheme="minorHAnsi" w:hAnsiTheme="minorHAnsi" w:cstheme="minorHAnsi"/>
          <w:szCs w:val="24"/>
        </w:rPr>
      </w:pPr>
      <w:r w:rsidRPr="00131853">
        <w:rPr>
          <w:rFonts w:asciiTheme="minorHAnsi" w:hAnsiTheme="minorHAnsi" w:cstheme="minorHAnsi"/>
          <w:szCs w:val="24"/>
        </w:rPr>
        <w:t>Ability to meet all applicable state and federal regulations governing environmental site assessments</w:t>
      </w:r>
      <w:r w:rsidR="003556DA">
        <w:rPr>
          <w:rFonts w:asciiTheme="minorHAnsi" w:hAnsiTheme="minorHAnsi" w:cstheme="minorHAnsi"/>
          <w:szCs w:val="24"/>
        </w:rPr>
        <w:t>,</w:t>
      </w:r>
    </w:p>
    <w:p w14:paraId="04E1CE97" w14:textId="752E0F5F" w:rsidR="00F7170E" w:rsidRDefault="003556DA" w:rsidP="004C5E4B">
      <w:pPr>
        <w:pStyle w:val="ListParagraph"/>
        <w:numPr>
          <w:ilvl w:val="1"/>
          <w:numId w:val="22"/>
        </w:numPr>
        <w:spacing w:after="0" w:line="240" w:lineRule="auto"/>
        <w:ind w:left="1170" w:hanging="270"/>
        <w:rPr>
          <w:rFonts w:asciiTheme="minorHAnsi" w:hAnsiTheme="minorHAnsi" w:cstheme="minorHAnsi"/>
          <w:szCs w:val="24"/>
        </w:rPr>
      </w:pPr>
      <w:r w:rsidRPr="003556DA">
        <w:rPr>
          <w:rFonts w:asciiTheme="minorHAnsi" w:hAnsiTheme="minorHAnsi" w:cstheme="minorHAnsi"/>
          <w:szCs w:val="24"/>
        </w:rPr>
        <w:t>Description of the history, experience, and qualifications of the Respondent including key personnel and their respective responsibilities</w:t>
      </w:r>
      <w:r w:rsidR="002B5285">
        <w:rPr>
          <w:rFonts w:asciiTheme="minorHAnsi" w:hAnsiTheme="minorHAnsi" w:cstheme="minorHAnsi"/>
          <w:szCs w:val="24"/>
        </w:rPr>
        <w:t>,</w:t>
      </w:r>
    </w:p>
    <w:p w14:paraId="4A4C70B1" w14:textId="0CD304FA" w:rsidR="003556DA" w:rsidRPr="00131853" w:rsidRDefault="003556DA" w:rsidP="004C5E4B">
      <w:pPr>
        <w:pStyle w:val="ListParagraph"/>
        <w:numPr>
          <w:ilvl w:val="1"/>
          <w:numId w:val="22"/>
        </w:numPr>
        <w:spacing w:after="0" w:line="240" w:lineRule="auto"/>
        <w:ind w:left="1170" w:hanging="270"/>
        <w:rPr>
          <w:rFonts w:asciiTheme="minorHAnsi" w:hAnsiTheme="minorHAnsi" w:cstheme="minorHAnsi"/>
          <w:szCs w:val="24"/>
        </w:rPr>
      </w:pPr>
      <w:r w:rsidRPr="003556DA">
        <w:rPr>
          <w:rFonts w:asciiTheme="minorHAnsi" w:hAnsiTheme="minorHAnsi" w:cstheme="minorHAnsi"/>
          <w:szCs w:val="24"/>
        </w:rPr>
        <w:t xml:space="preserve">If relevant, a </w:t>
      </w:r>
      <w:proofErr w:type="gramStart"/>
      <w:r w:rsidRPr="003556DA">
        <w:rPr>
          <w:rFonts w:asciiTheme="minorHAnsi" w:hAnsiTheme="minorHAnsi" w:cstheme="minorHAnsi"/>
          <w:szCs w:val="24"/>
        </w:rPr>
        <w:t>listing</w:t>
      </w:r>
      <w:proofErr w:type="gramEnd"/>
      <w:r w:rsidRPr="003556DA">
        <w:rPr>
          <w:rFonts w:asciiTheme="minorHAnsi" w:hAnsiTheme="minorHAnsi" w:cstheme="minorHAnsi"/>
          <w:szCs w:val="24"/>
        </w:rPr>
        <w:t xml:space="preserve"> of subcontractors </w:t>
      </w:r>
      <w:proofErr w:type="gramStart"/>
      <w:r w:rsidR="00020612">
        <w:rPr>
          <w:rFonts w:asciiTheme="minorHAnsi" w:hAnsiTheme="minorHAnsi" w:cstheme="minorHAnsi"/>
          <w:szCs w:val="24"/>
        </w:rPr>
        <w:t>to</w:t>
      </w:r>
      <w:proofErr w:type="gramEnd"/>
      <w:r w:rsidR="00020612">
        <w:rPr>
          <w:rFonts w:asciiTheme="minorHAnsi" w:hAnsiTheme="minorHAnsi" w:cstheme="minorHAnsi"/>
          <w:szCs w:val="24"/>
        </w:rPr>
        <w:t xml:space="preserve"> be </w:t>
      </w:r>
      <w:r w:rsidRPr="003556DA">
        <w:rPr>
          <w:rFonts w:asciiTheme="minorHAnsi" w:hAnsiTheme="minorHAnsi" w:cstheme="minorHAnsi"/>
          <w:szCs w:val="24"/>
        </w:rPr>
        <w:t xml:space="preserve">used for activities identified in the Scope of Work </w:t>
      </w:r>
      <w:r w:rsidR="00D00489">
        <w:rPr>
          <w:rFonts w:asciiTheme="minorHAnsi" w:hAnsiTheme="minorHAnsi" w:cstheme="minorHAnsi"/>
          <w:szCs w:val="24"/>
        </w:rPr>
        <w:t xml:space="preserve">and percentage of work to be completed by the prime consultant and each subconsultant. </w:t>
      </w:r>
    </w:p>
    <w:p w14:paraId="62648F1D" w14:textId="3D9B17B6" w:rsidR="009A0284" w:rsidRPr="00131853" w:rsidRDefault="009A0284" w:rsidP="004C5E4B">
      <w:pPr>
        <w:pStyle w:val="ListParagraph"/>
        <w:numPr>
          <w:ilvl w:val="1"/>
          <w:numId w:val="22"/>
        </w:numPr>
        <w:spacing w:after="0" w:line="240" w:lineRule="auto"/>
        <w:ind w:left="1170" w:hanging="270"/>
        <w:rPr>
          <w:rFonts w:asciiTheme="minorHAnsi" w:hAnsiTheme="minorHAnsi" w:cstheme="minorHAnsi"/>
          <w:szCs w:val="24"/>
        </w:rPr>
      </w:pPr>
      <w:r w:rsidRPr="00131853">
        <w:rPr>
          <w:rFonts w:asciiTheme="minorHAnsi" w:hAnsiTheme="minorHAnsi" w:cstheme="minorHAnsi"/>
          <w:szCs w:val="24"/>
        </w:rPr>
        <w:t>Methodologies to perform site assessments and confirmatory sampling</w:t>
      </w:r>
      <w:r w:rsidR="002B5285">
        <w:rPr>
          <w:rFonts w:asciiTheme="minorHAnsi" w:hAnsiTheme="minorHAnsi" w:cstheme="minorHAnsi"/>
          <w:szCs w:val="24"/>
        </w:rPr>
        <w:t>,</w:t>
      </w:r>
    </w:p>
    <w:p w14:paraId="303903EC" w14:textId="0345D270" w:rsidR="009A0284" w:rsidRPr="00B6141F" w:rsidRDefault="00B6141F" w:rsidP="001277A7">
      <w:pPr>
        <w:pStyle w:val="ListParagraph"/>
        <w:numPr>
          <w:ilvl w:val="1"/>
          <w:numId w:val="22"/>
        </w:numPr>
        <w:spacing w:after="0" w:line="240" w:lineRule="auto"/>
        <w:ind w:left="1170" w:hanging="270"/>
        <w:rPr>
          <w:rFonts w:asciiTheme="minorHAnsi" w:hAnsiTheme="minorHAnsi" w:cstheme="minorHAnsi"/>
          <w:szCs w:val="24"/>
        </w:rPr>
      </w:pPr>
      <w:r w:rsidRPr="00B6141F">
        <w:rPr>
          <w:rFonts w:asciiTheme="minorHAnsi" w:hAnsiTheme="minorHAnsi" w:cstheme="minorHAnsi"/>
          <w:szCs w:val="24"/>
        </w:rPr>
        <w:t>Description of how the grant funds will be fully utilized and current fee schedule for your firm.</w:t>
      </w:r>
      <w:r>
        <w:rPr>
          <w:rFonts w:asciiTheme="minorHAnsi" w:hAnsiTheme="minorHAnsi" w:cstheme="minorHAnsi"/>
          <w:szCs w:val="24"/>
        </w:rPr>
        <w:t xml:space="preserve"> Include i</w:t>
      </w:r>
      <w:r w:rsidR="009A0284" w:rsidRPr="00B6141F">
        <w:rPr>
          <w:rFonts w:asciiTheme="minorHAnsi" w:hAnsiTheme="minorHAnsi" w:cstheme="minorHAnsi"/>
          <w:szCs w:val="24"/>
        </w:rPr>
        <w:t>nnovative ideas for maximizing the value and amount of work that can be completed within the budget available through the grant. Provide rationale and evidence of the value and effectiveness of the proposed approach to the scope of services</w:t>
      </w:r>
      <w:r w:rsidR="002B5285" w:rsidRPr="00B6141F">
        <w:rPr>
          <w:rFonts w:asciiTheme="minorHAnsi" w:hAnsiTheme="minorHAnsi" w:cstheme="minorHAnsi"/>
          <w:szCs w:val="24"/>
        </w:rPr>
        <w:t>,</w:t>
      </w:r>
    </w:p>
    <w:p w14:paraId="7AB7A594" w14:textId="1751917B" w:rsidR="00901493" w:rsidRDefault="00901493" w:rsidP="004C5E4B">
      <w:pPr>
        <w:pStyle w:val="ListParagraph"/>
        <w:numPr>
          <w:ilvl w:val="1"/>
          <w:numId w:val="22"/>
        </w:numPr>
        <w:spacing w:after="0" w:line="240" w:lineRule="auto"/>
        <w:ind w:left="1170" w:hanging="270"/>
        <w:rPr>
          <w:rFonts w:asciiTheme="minorHAnsi" w:hAnsiTheme="minorHAnsi" w:cstheme="minorHAnsi"/>
          <w:szCs w:val="24"/>
        </w:rPr>
      </w:pPr>
      <w:r>
        <w:rPr>
          <w:rFonts w:asciiTheme="minorHAnsi" w:hAnsiTheme="minorHAnsi" w:cstheme="minorHAnsi"/>
          <w:szCs w:val="24"/>
        </w:rPr>
        <w:t xml:space="preserve">Strategy </w:t>
      </w:r>
      <w:r w:rsidR="00D00489">
        <w:rPr>
          <w:rFonts w:asciiTheme="minorHAnsi" w:hAnsiTheme="minorHAnsi" w:cstheme="minorHAnsi"/>
          <w:szCs w:val="24"/>
        </w:rPr>
        <w:t>for completing identified tasks based on capacity and present workload in a timely manner</w:t>
      </w:r>
      <w:r w:rsidR="002B5285">
        <w:rPr>
          <w:rFonts w:asciiTheme="minorHAnsi" w:hAnsiTheme="minorHAnsi" w:cstheme="minorHAnsi"/>
          <w:szCs w:val="24"/>
        </w:rPr>
        <w:t>,</w:t>
      </w:r>
      <w:r>
        <w:rPr>
          <w:rFonts w:asciiTheme="minorHAnsi" w:hAnsiTheme="minorHAnsi" w:cstheme="minorHAnsi"/>
          <w:szCs w:val="24"/>
        </w:rPr>
        <w:t xml:space="preserve"> </w:t>
      </w:r>
    </w:p>
    <w:p w14:paraId="55216B32" w14:textId="2AD0883E" w:rsidR="009A0284" w:rsidRPr="00901493" w:rsidRDefault="00F7170E" w:rsidP="004C5E4B">
      <w:pPr>
        <w:pStyle w:val="ListParagraph"/>
        <w:numPr>
          <w:ilvl w:val="1"/>
          <w:numId w:val="22"/>
        </w:numPr>
        <w:spacing w:after="0" w:line="240" w:lineRule="auto"/>
        <w:ind w:left="1170" w:hanging="270"/>
        <w:rPr>
          <w:rFonts w:asciiTheme="minorHAnsi" w:hAnsiTheme="minorHAnsi" w:cstheme="minorHAnsi"/>
        </w:rPr>
      </w:pPr>
      <w:r>
        <w:rPr>
          <w:rFonts w:asciiTheme="minorHAnsi" w:hAnsiTheme="minorHAnsi" w:cstheme="minorHAnsi"/>
          <w:szCs w:val="24"/>
        </w:rPr>
        <w:t>Experience conducting assessments</w:t>
      </w:r>
      <w:r w:rsidR="00901493">
        <w:rPr>
          <w:rFonts w:asciiTheme="minorHAnsi" w:hAnsiTheme="minorHAnsi" w:cstheme="minorHAnsi"/>
          <w:szCs w:val="24"/>
        </w:rPr>
        <w:t xml:space="preserve"> on contaminated properties and remediation to address state and federal requirements</w:t>
      </w:r>
      <w:r w:rsidR="002B5285">
        <w:rPr>
          <w:rFonts w:asciiTheme="minorHAnsi" w:hAnsiTheme="minorHAnsi" w:cstheme="minorHAnsi"/>
          <w:szCs w:val="24"/>
        </w:rPr>
        <w:t>,</w:t>
      </w:r>
    </w:p>
    <w:p w14:paraId="6BE2A042" w14:textId="4F4D5D2B" w:rsidR="00901493" w:rsidRPr="00901493" w:rsidRDefault="00901493" w:rsidP="004C5E4B">
      <w:pPr>
        <w:pStyle w:val="ListParagraph"/>
        <w:numPr>
          <w:ilvl w:val="1"/>
          <w:numId w:val="22"/>
        </w:numPr>
        <w:spacing w:after="0" w:line="240" w:lineRule="auto"/>
        <w:ind w:left="1170" w:hanging="270"/>
        <w:rPr>
          <w:rFonts w:asciiTheme="minorHAnsi" w:hAnsiTheme="minorHAnsi" w:cstheme="minorHAnsi"/>
        </w:rPr>
      </w:pPr>
      <w:r>
        <w:rPr>
          <w:rFonts w:asciiTheme="minorHAnsi" w:hAnsiTheme="minorHAnsi" w:cstheme="minorHAnsi"/>
          <w:szCs w:val="24"/>
        </w:rPr>
        <w:t xml:space="preserve">List of other projects along with references for up to </w:t>
      </w:r>
      <w:r w:rsidRPr="00B14275">
        <w:rPr>
          <w:rFonts w:asciiTheme="minorHAnsi" w:hAnsiTheme="minorHAnsi" w:cstheme="minorHAnsi"/>
          <w:szCs w:val="24"/>
        </w:rPr>
        <w:t>three (3)</w:t>
      </w:r>
      <w:r>
        <w:rPr>
          <w:rFonts w:asciiTheme="minorHAnsi" w:hAnsiTheme="minorHAnsi" w:cstheme="minorHAnsi"/>
          <w:szCs w:val="24"/>
        </w:rPr>
        <w:t xml:space="preserve"> similar projects.</w:t>
      </w:r>
    </w:p>
    <w:p w14:paraId="5093435B" w14:textId="77777777" w:rsidR="003556DA" w:rsidRDefault="003556DA" w:rsidP="00A915CC">
      <w:pPr>
        <w:spacing w:after="0" w:line="240" w:lineRule="auto"/>
        <w:rPr>
          <w:rFonts w:asciiTheme="minorHAnsi" w:hAnsiTheme="minorHAnsi" w:cstheme="minorHAnsi"/>
          <w:szCs w:val="24"/>
        </w:rPr>
      </w:pPr>
    </w:p>
    <w:p w14:paraId="2567BC5A" w14:textId="014D76CA" w:rsidR="00A915CC" w:rsidRPr="00131853" w:rsidRDefault="005A178C" w:rsidP="00A915CC">
      <w:pPr>
        <w:spacing w:after="0" w:line="240" w:lineRule="auto"/>
        <w:rPr>
          <w:rFonts w:asciiTheme="minorHAnsi" w:hAnsiTheme="minorHAnsi" w:cstheme="minorHAnsi"/>
          <w:szCs w:val="24"/>
          <w:highlight w:val="yellow"/>
        </w:rPr>
      </w:pPr>
      <w:r w:rsidRPr="00B14275">
        <w:rPr>
          <w:rFonts w:asciiTheme="minorHAnsi" w:hAnsiTheme="minorHAnsi" w:cstheme="minorHAnsi"/>
          <w:szCs w:val="24"/>
        </w:rPr>
        <w:t>Note that the cover letter</w:t>
      </w:r>
      <w:r w:rsidR="00B14275" w:rsidRPr="00B14275">
        <w:rPr>
          <w:rFonts w:asciiTheme="minorHAnsi" w:hAnsiTheme="minorHAnsi" w:cstheme="minorHAnsi"/>
          <w:szCs w:val="24"/>
        </w:rPr>
        <w:t xml:space="preserve"> and </w:t>
      </w:r>
      <w:r w:rsidRPr="00B14275">
        <w:rPr>
          <w:rFonts w:asciiTheme="minorHAnsi" w:hAnsiTheme="minorHAnsi" w:cstheme="minorHAnsi"/>
          <w:szCs w:val="24"/>
        </w:rPr>
        <w:t xml:space="preserve">resumes are not included in the </w:t>
      </w:r>
      <w:r w:rsidR="00D00489">
        <w:rPr>
          <w:rFonts w:asciiTheme="minorHAnsi" w:hAnsiTheme="minorHAnsi" w:cstheme="minorHAnsi"/>
          <w:szCs w:val="24"/>
        </w:rPr>
        <w:t>10</w:t>
      </w:r>
      <w:r w:rsidRPr="00B14275">
        <w:rPr>
          <w:rFonts w:asciiTheme="minorHAnsi" w:hAnsiTheme="minorHAnsi" w:cstheme="minorHAnsi"/>
          <w:szCs w:val="24"/>
        </w:rPr>
        <w:t>-page limitations</w:t>
      </w:r>
      <w:r>
        <w:rPr>
          <w:rFonts w:asciiTheme="minorHAnsi" w:hAnsiTheme="minorHAnsi" w:cstheme="minorHAnsi"/>
          <w:szCs w:val="24"/>
        </w:rPr>
        <w:t xml:space="preserve">. Complete RFQ packages shall be submitted to: </w:t>
      </w:r>
    </w:p>
    <w:p w14:paraId="61FC65DF" w14:textId="77777777" w:rsidR="00B14275" w:rsidRPr="00B14275" w:rsidRDefault="00B14275" w:rsidP="00B14275">
      <w:pPr>
        <w:spacing w:after="0" w:line="240" w:lineRule="auto"/>
        <w:jc w:val="center"/>
        <w:rPr>
          <w:rFonts w:ascii="Calibri" w:eastAsia="Calibri" w:hAnsi="Calibri" w:cs="Times New Roman"/>
          <w:szCs w:val="24"/>
        </w:rPr>
      </w:pPr>
      <w:r w:rsidRPr="00B14275">
        <w:rPr>
          <w:rFonts w:ascii="Calibri" w:eastAsia="Calibri" w:hAnsi="Calibri" w:cs="Times New Roman"/>
          <w:szCs w:val="24"/>
        </w:rPr>
        <w:t>City of Greenfield</w:t>
      </w:r>
    </w:p>
    <w:p w14:paraId="2ADD189E" w14:textId="77777777" w:rsidR="00B14275" w:rsidRPr="00B14275" w:rsidRDefault="00B14275" w:rsidP="00B14275">
      <w:pPr>
        <w:spacing w:after="0" w:line="240" w:lineRule="auto"/>
        <w:jc w:val="center"/>
        <w:rPr>
          <w:rFonts w:ascii="Calibri" w:eastAsia="Calibri" w:hAnsi="Calibri" w:cs="Times New Roman"/>
          <w:szCs w:val="24"/>
        </w:rPr>
      </w:pPr>
      <w:r w:rsidRPr="00B14275">
        <w:rPr>
          <w:rFonts w:ascii="Calibri" w:eastAsia="Calibri" w:hAnsi="Calibri" w:cs="Times New Roman"/>
          <w:szCs w:val="24"/>
        </w:rPr>
        <w:t>c/o Clerk Treasurer</w:t>
      </w:r>
    </w:p>
    <w:p w14:paraId="7F0641DB" w14:textId="77777777" w:rsidR="00B14275" w:rsidRPr="00B14275" w:rsidRDefault="00B14275" w:rsidP="00B14275">
      <w:pPr>
        <w:spacing w:after="0" w:line="240" w:lineRule="auto"/>
        <w:jc w:val="center"/>
        <w:rPr>
          <w:rFonts w:ascii="Calibri" w:eastAsia="Calibri" w:hAnsi="Calibri" w:cs="Times New Roman"/>
          <w:szCs w:val="24"/>
        </w:rPr>
      </w:pPr>
      <w:r w:rsidRPr="00B14275">
        <w:rPr>
          <w:rFonts w:ascii="Calibri" w:eastAsia="Calibri" w:hAnsi="Calibri" w:cs="Times New Roman"/>
          <w:szCs w:val="24"/>
        </w:rPr>
        <w:t>10 S State Street</w:t>
      </w:r>
    </w:p>
    <w:p w14:paraId="2E19744F" w14:textId="77777777" w:rsidR="00B14275" w:rsidRPr="00B14275" w:rsidRDefault="00B14275" w:rsidP="00B14275">
      <w:pPr>
        <w:spacing w:after="0" w:line="240" w:lineRule="auto"/>
        <w:jc w:val="center"/>
        <w:rPr>
          <w:rFonts w:ascii="Calibri" w:eastAsia="Calibri" w:hAnsi="Calibri" w:cs="Times New Roman"/>
          <w:szCs w:val="24"/>
        </w:rPr>
      </w:pPr>
      <w:r w:rsidRPr="00B14275">
        <w:rPr>
          <w:rFonts w:ascii="Calibri" w:eastAsia="Calibri" w:hAnsi="Calibri" w:cs="Times New Roman"/>
          <w:szCs w:val="24"/>
        </w:rPr>
        <w:t>Greenfield IN 46140</w:t>
      </w:r>
    </w:p>
    <w:p w14:paraId="2D1B69ED" w14:textId="77777777" w:rsidR="00385184" w:rsidRPr="00131853" w:rsidRDefault="00385184" w:rsidP="00385184">
      <w:pPr>
        <w:spacing w:after="0" w:line="240" w:lineRule="auto"/>
        <w:jc w:val="center"/>
        <w:rPr>
          <w:rFonts w:asciiTheme="minorHAnsi" w:hAnsiTheme="minorHAnsi" w:cstheme="minorHAnsi"/>
          <w:sz w:val="16"/>
          <w:szCs w:val="16"/>
        </w:rPr>
      </w:pPr>
    </w:p>
    <w:p w14:paraId="0FBB7288" w14:textId="11AA47B0" w:rsidR="00385184" w:rsidRPr="00131853" w:rsidRDefault="008E4D47" w:rsidP="00385184">
      <w:pPr>
        <w:spacing w:after="0" w:line="240" w:lineRule="auto"/>
        <w:rPr>
          <w:rFonts w:asciiTheme="minorHAnsi" w:hAnsiTheme="minorHAnsi" w:cstheme="minorHAnsi"/>
          <w:szCs w:val="24"/>
        </w:rPr>
      </w:pPr>
      <w:r w:rsidRPr="00131853">
        <w:rPr>
          <w:rFonts w:asciiTheme="minorHAnsi" w:hAnsiTheme="minorHAnsi" w:cstheme="minorHAnsi"/>
          <w:szCs w:val="24"/>
        </w:rPr>
        <w:t>R</w:t>
      </w:r>
      <w:r w:rsidR="00385184" w:rsidRPr="00131853">
        <w:rPr>
          <w:rFonts w:asciiTheme="minorHAnsi" w:hAnsiTheme="minorHAnsi" w:cstheme="minorHAnsi"/>
          <w:szCs w:val="24"/>
        </w:rPr>
        <w:t xml:space="preserve">esponses not received by </w:t>
      </w:r>
      <w:r w:rsidR="00B14275">
        <w:rPr>
          <w:rFonts w:ascii="Calibri" w:eastAsia="Calibri" w:hAnsi="Calibri" w:cs="Times New Roman"/>
          <w:szCs w:val="24"/>
        </w:rPr>
        <w:t xml:space="preserve">October </w:t>
      </w:r>
      <w:r w:rsidR="00D00489">
        <w:rPr>
          <w:rFonts w:ascii="Calibri" w:eastAsia="Calibri" w:hAnsi="Calibri" w:cs="Times New Roman"/>
          <w:szCs w:val="24"/>
        </w:rPr>
        <w:t>27</w:t>
      </w:r>
      <w:r w:rsidR="00B14275" w:rsidRPr="00131853">
        <w:rPr>
          <w:rFonts w:ascii="Calibri" w:eastAsia="Calibri" w:hAnsi="Calibri" w:cs="Times New Roman"/>
          <w:szCs w:val="24"/>
        </w:rPr>
        <w:t xml:space="preserve">, </w:t>
      </w:r>
      <w:proofErr w:type="gramStart"/>
      <w:r w:rsidR="00B14275" w:rsidRPr="00131853">
        <w:rPr>
          <w:rFonts w:ascii="Calibri" w:eastAsia="Calibri" w:hAnsi="Calibri" w:cs="Times New Roman"/>
          <w:szCs w:val="24"/>
        </w:rPr>
        <w:t>202</w:t>
      </w:r>
      <w:r w:rsidR="00B14275">
        <w:rPr>
          <w:rFonts w:ascii="Calibri" w:eastAsia="Calibri" w:hAnsi="Calibri" w:cs="Times New Roman"/>
          <w:szCs w:val="24"/>
        </w:rPr>
        <w:t>5</w:t>
      </w:r>
      <w:proofErr w:type="gramEnd"/>
      <w:r w:rsidR="00B14275" w:rsidRPr="00131853">
        <w:rPr>
          <w:rFonts w:ascii="Calibri" w:eastAsia="Calibri" w:hAnsi="Calibri" w:cs="Times New Roman"/>
          <w:szCs w:val="24"/>
        </w:rPr>
        <w:t xml:space="preserve"> by </w:t>
      </w:r>
      <w:r w:rsidR="00B14275" w:rsidRPr="00542DB2">
        <w:rPr>
          <w:rFonts w:ascii="Calibri" w:eastAsia="Calibri" w:hAnsi="Calibri" w:cs="Times New Roman"/>
          <w:szCs w:val="24"/>
        </w:rPr>
        <w:t xml:space="preserve">12:00 pm </w:t>
      </w:r>
      <w:r w:rsidR="00B14275">
        <w:rPr>
          <w:rFonts w:ascii="Calibri" w:eastAsia="Calibri" w:hAnsi="Calibri" w:cs="Times New Roman"/>
          <w:szCs w:val="24"/>
        </w:rPr>
        <w:t xml:space="preserve">EST </w:t>
      </w:r>
      <w:r w:rsidR="00385184" w:rsidRPr="00B14275">
        <w:rPr>
          <w:rFonts w:asciiTheme="minorHAnsi" w:hAnsiTheme="minorHAnsi" w:cstheme="minorHAnsi"/>
          <w:b/>
          <w:bCs/>
          <w:szCs w:val="24"/>
          <w:u w:val="single"/>
        </w:rPr>
        <w:t>WILL NOT BE ACCEPTED FOR CONSIDERATION</w:t>
      </w:r>
      <w:r w:rsidR="00385184" w:rsidRPr="00131853">
        <w:rPr>
          <w:rFonts w:asciiTheme="minorHAnsi" w:hAnsiTheme="minorHAnsi" w:cstheme="minorHAnsi"/>
          <w:szCs w:val="24"/>
        </w:rPr>
        <w:t xml:space="preserve">. </w:t>
      </w:r>
      <w:r w:rsidR="00AB378C" w:rsidRPr="00131853">
        <w:rPr>
          <w:rFonts w:asciiTheme="minorHAnsi" w:hAnsiTheme="minorHAnsi" w:cstheme="minorHAnsi"/>
          <w:szCs w:val="24"/>
        </w:rPr>
        <w:t>To reduce waste, cost, and size of submittals, basic stapled proposals are preferred rather than submittals with three-ring or other binding mechanisms.</w:t>
      </w:r>
    </w:p>
    <w:p w14:paraId="25257F2F" w14:textId="77777777" w:rsidR="00AB378C" w:rsidRPr="00131853" w:rsidRDefault="00AB378C" w:rsidP="00385184">
      <w:pPr>
        <w:spacing w:after="0" w:line="240" w:lineRule="auto"/>
        <w:rPr>
          <w:rFonts w:asciiTheme="minorHAnsi" w:hAnsiTheme="minorHAnsi" w:cstheme="minorHAnsi"/>
          <w:szCs w:val="24"/>
        </w:rPr>
      </w:pPr>
    </w:p>
    <w:p w14:paraId="33510CEF" w14:textId="4C8CF56A" w:rsidR="009E27FC" w:rsidRPr="00094B95" w:rsidRDefault="00D6510A" w:rsidP="00094B95">
      <w:pPr>
        <w:spacing w:after="0" w:line="240" w:lineRule="auto"/>
        <w:rPr>
          <w:rFonts w:asciiTheme="minorHAnsi" w:hAnsiTheme="minorHAnsi" w:cstheme="minorHAnsi"/>
          <w:szCs w:val="24"/>
        </w:rPr>
      </w:pPr>
      <w:r w:rsidRPr="005A178C">
        <w:rPr>
          <w:rFonts w:asciiTheme="minorHAnsi" w:hAnsiTheme="minorHAnsi" w:cstheme="minorHAnsi"/>
          <w:szCs w:val="24"/>
        </w:rPr>
        <w:t>T</w:t>
      </w:r>
      <w:r w:rsidR="00757E2C" w:rsidRPr="005A178C">
        <w:rPr>
          <w:rFonts w:asciiTheme="minorHAnsi" w:hAnsiTheme="minorHAnsi" w:cstheme="minorHAnsi"/>
          <w:szCs w:val="24"/>
        </w:rPr>
        <w:t xml:space="preserve">he </w:t>
      </w:r>
      <w:proofErr w:type="gramStart"/>
      <w:r w:rsidR="003D66AF" w:rsidRPr="00B14275">
        <w:rPr>
          <w:rFonts w:asciiTheme="minorHAnsi" w:hAnsiTheme="minorHAnsi" w:cstheme="minorHAnsi"/>
          <w:szCs w:val="24"/>
        </w:rPr>
        <w:t>City</w:t>
      </w:r>
      <w:proofErr w:type="gramEnd"/>
      <w:r w:rsidR="00130716" w:rsidRPr="005A178C">
        <w:rPr>
          <w:rFonts w:asciiTheme="minorHAnsi" w:hAnsiTheme="minorHAnsi" w:cstheme="minorHAnsi"/>
          <w:szCs w:val="24"/>
        </w:rPr>
        <w:t xml:space="preserve"> will not be held responsible for </w:t>
      </w:r>
      <w:r w:rsidR="00DF3C3E" w:rsidRPr="005A178C">
        <w:rPr>
          <w:rFonts w:asciiTheme="minorHAnsi" w:hAnsiTheme="minorHAnsi" w:cstheme="minorHAnsi"/>
          <w:szCs w:val="24"/>
        </w:rPr>
        <w:t xml:space="preserve">response </w:t>
      </w:r>
      <w:r w:rsidR="00130716" w:rsidRPr="005A178C">
        <w:rPr>
          <w:rFonts w:asciiTheme="minorHAnsi" w:hAnsiTheme="minorHAnsi" w:cstheme="minorHAnsi"/>
          <w:szCs w:val="24"/>
        </w:rPr>
        <w:t xml:space="preserve">envelopes </w:t>
      </w:r>
      <w:proofErr w:type="gramStart"/>
      <w:r w:rsidR="00130716" w:rsidRPr="005A178C">
        <w:rPr>
          <w:rFonts w:asciiTheme="minorHAnsi" w:hAnsiTheme="minorHAnsi" w:cstheme="minorHAnsi"/>
          <w:szCs w:val="24"/>
        </w:rPr>
        <w:t>mishandled</w:t>
      </w:r>
      <w:proofErr w:type="gramEnd"/>
      <w:r w:rsidR="00130716" w:rsidRPr="005A178C">
        <w:rPr>
          <w:rFonts w:asciiTheme="minorHAnsi" w:hAnsiTheme="minorHAnsi" w:cstheme="minorHAnsi"/>
          <w:szCs w:val="24"/>
        </w:rPr>
        <w:t xml:space="preserve">, misrouted, or delivered late </w:t>
      </w:r>
      <w:proofErr w:type="gramStart"/>
      <w:r w:rsidR="00130716" w:rsidRPr="005A178C">
        <w:rPr>
          <w:rFonts w:asciiTheme="minorHAnsi" w:hAnsiTheme="minorHAnsi" w:cstheme="minorHAnsi"/>
          <w:szCs w:val="24"/>
        </w:rPr>
        <w:t>as a result of</w:t>
      </w:r>
      <w:proofErr w:type="gramEnd"/>
      <w:r w:rsidR="00130716" w:rsidRPr="005A178C">
        <w:rPr>
          <w:rFonts w:asciiTheme="minorHAnsi" w:hAnsiTheme="minorHAnsi" w:cstheme="minorHAnsi"/>
          <w:szCs w:val="24"/>
        </w:rPr>
        <w:t xml:space="preserve"> the envelope not being properly prepared. </w:t>
      </w:r>
      <w:r w:rsidR="008E4D47" w:rsidRPr="005A178C">
        <w:rPr>
          <w:rFonts w:asciiTheme="minorHAnsi" w:hAnsiTheme="minorHAnsi" w:cstheme="minorHAnsi"/>
          <w:szCs w:val="24"/>
        </w:rPr>
        <w:t>Faxed responses will not be accepted.</w:t>
      </w:r>
      <w:r w:rsidR="005A178C">
        <w:rPr>
          <w:rFonts w:asciiTheme="minorHAnsi" w:hAnsiTheme="minorHAnsi" w:cstheme="minorHAnsi"/>
          <w:szCs w:val="24"/>
        </w:rPr>
        <w:t xml:space="preserve"> </w:t>
      </w:r>
      <w:r w:rsidR="00577B29" w:rsidRPr="005A178C">
        <w:rPr>
          <w:rFonts w:asciiTheme="minorHAnsi" w:hAnsiTheme="minorHAnsi" w:cstheme="minorHAnsi"/>
          <w:szCs w:val="24"/>
        </w:rPr>
        <w:t xml:space="preserve">Any questions regarding this </w:t>
      </w:r>
      <w:r w:rsidR="004A1E75" w:rsidRPr="005A178C">
        <w:rPr>
          <w:rFonts w:asciiTheme="minorHAnsi" w:hAnsiTheme="minorHAnsi" w:cstheme="minorHAnsi"/>
          <w:szCs w:val="24"/>
        </w:rPr>
        <w:t>RFQ</w:t>
      </w:r>
      <w:r w:rsidR="00577B29" w:rsidRPr="005A178C">
        <w:rPr>
          <w:rFonts w:asciiTheme="minorHAnsi" w:hAnsiTheme="minorHAnsi" w:cstheme="minorHAnsi"/>
          <w:szCs w:val="24"/>
        </w:rPr>
        <w:t xml:space="preserve"> must be submitted in an</w:t>
      </w:r>
      <w:r w:rsidR="00577B29" w:rsidRPr="00B14275">
        <w:rPr>
          <w:rFonts w:asciiTheme="minorHAnsi" w:hAnsiTheme="minorHAnsi" w:cstheme="minorHAnsi"/>
          <w:szCs w:val="24"/>
        </w:rPr>
        <w:t xml:space="preserve"> e-mail </w:t>
      </w:r>
      <w:r w:rsidR="00B14275" w:rsidRPr="00B14275">
        <w:rPr>
          <w:rFonts w:asciiTheme="minorHAnsi" w:hAnsiTheme="minorHAnsi" w:cstheme="minorHAnsi"/>
          <w:szCs w:val="24"/>
        </w:rPr>
        <w:t>to Jenna Wertman by the deadline noted in this RFQ</w:t>
      </w:r>
      <w:r w:rsidR="0059492C" w:rsidRPr="005A178C">
        <w:rPr>
          <w:rFonts w:asciiTheme="minorHAnsi" w:hAnsiTheme="minorHAnsi" w:cstheme="minorHAnsi"/>
          <w:szCs w:val="24"/>
        </w:rPr>
        <w:t>.</w:t>
      </w:r>
      <w:r w:rsidR="00577B29" w:rsidRPr="005A178C">
        <w:rPr>
          <w:rFonts w:asciiTheme="minorHAnsi" w:hAnsiTheme="minorHAnsi" w:cstheme="minorHAnsi"/>
          <w:szCs w:val="24"/>
        </w:rPr>
        <w:t xml:space="preserve"> A timely </w:t>
      </w:r>
      <w:r w:rsidR="00DF3C3E" w:rsidRPr="005A178C">
        <w:rPr>
          <w:rFonts w:asciiTheme="minorHAnsi" w:hAnsiTheme="minorHAnsi" w:cstheme="minorHAnsi"/>
          <w:szCs w:val="24"/>
        </w:rPr>
        <w:t xml:space="preserve">written </w:t>
      </w:r>
      <w:r w:rsidR="00577B29" w:rsidRPr="005A178C">
        <w:rPr>
          <w:rFonts w:asciiTheme="minorHAnsi" w:hAnsiTheme="minorHAnsi" w:cstheme="minorHAnsi"/>
          <w:szCs w:val="24"/>
        </w:rPr>
        <w:t>response</w:t>
      </w:r>
      <w:r w:rsidR="00DF3C3E" w:rsidRPr="005A178C">
        <w:rPr>
          <w:rFonts w:asciiTheme="minorHAnsi" w:hAnsiTheme="minorHAnsi" w:cstheme="minorHAnsi"/>
          <w:szCs w:val="24"/>
        </w:rPr>
        <w:t>, which includes electronic transmittal,</w:t>
      </w:r>
      <w:r w:rsidR="00577B29" w:rsidRPr="005A178C">
        <w:rPr>
          <w:rFonts w:asciiTheme="minorHAnsi" w:hAnsiTheme="minorHAnsi" w:cstheme="minorHAnsi"/>
          <w:szCs w:val="24"/>
        </w:rPr>
        <w:t xml:space="preserve"> to all e-mail questions wil</w:t>
      </w:r>
      <w:r w:rsidR="00AB378C" w:rsidRPr="005A178C">
        <w:rPr>
          <w:rFonts w:asciiTheme="minorHAnsi" w:hAnsiTheme="minorHAnsi" w:cstheme="minorHAnsi"/>
          <w:szCs w:val="24"/>
        </w:rPr>
        <w:t xml:space="preserve">l be provided to the Respondent and all firms who received the </w:t>
      </w:r>
      <w:r w:rsidR="004A1E75" w:rsidRPr="005A178C">
        <w:rPr>
          <w:rFonts w:asciiTheme="minorHAnsi" w:hAnsiTheme="minorHAnsi" w:cstheme="minorHAnsi"/>
          <w:szCs w:val="24"/>
        </w:rPr>
        <w:t>RFQ</w:t>
      </w:r>
      <w:r w:rsidR="00AB378C" w:rsidRPr="005A178C">
        <w:rPr>
          <w:rFonts w:asciiTheme="minorHAnsi" w:hAnsiTheme="minorHAnsi" w:cstheme="minorHAnsi"/>
          <w:szCs w:val="24"/>
        </w:rPr>
        <w:t>.</w:t>
      </w:r>
      <w:r w:rsidR="00094B95">
        <w:rPr>
          <w:rFonts w:asciiTheme="minorHAnsi" w:hAnsiTheme="minorHAnsi" w:cstheme="minorHAnsi"/>
          <w:szCs w:val="24"/>
        </w:rPr>
        <w:t xml:space="preserve"> I</w:t>
      </w:r>
      <w:r w:rsidR="00577B29" w:rsidRPr="00094B95">
        <w:rPr>
          <w:rFonts w:asciiTheme="minorHAnsi" w:hAnsiTheme="minorHAnsi" w:cstheme="minorHAnsi"/>
          <w:szCs w:val="24"/>
        </w:rPr>
        <w:t xml:space="preserve">nquiries </w:t>
      </w:r>
      <w:proofErr w:type="gramStart"/>
      <w:r w:rsidR="00577B29" w:rsidRPr="00094B95">
        <w:rPr>
          <w:rFonts w:asciiTheme="minorHAnsi" w:hAnsiTheme="minorHAnsi" w:cstheme="minorHAnsi"/>
          <w:szCs w:val="24"/>
        </w:rPr>
        <w:t>pertaining to</w:t>
      </w:r>
      <w:proofErr w:type="gramEnd"/>
      <w:r w:rsidR="00577B29" w:rsidRPr="00094B95">
        <w:rPr>
          <w:rFonts w:asciiTheme="minorHAnsi" w:hAnsiTheme="minorHAnsi" w:cstheme="minorHAnsi"/>
          <w:szCs w:val="24"/>
        </w:rPr>
        <w:t xml:space="preserve"> the </w:t>
      </w:r>
      <w:r w:rsidR="004A1E75" w:rsidRPr="00094B95">
        <w:rPr>
          <w:rFonts w:asciiTheme="minorHAnsi" w:hAnsiTheme="minorHAnsi" w:cstheme="minorHAnsi"/>
          <w:szCs w:val="24"/>
        </w:rPr>
        <w:t>RFQ</w:t>
      </w:r>
      <w:r w:rsidR="00577B29" w:rsidRPr="00094B95">
        <w:rPr>
          <w:rFonts w:asciiTheme="minorHAnsi" w:hAnsiTheme="minorHAnsi" w:cstheme="minorHAnsi"/>
          <w:szCs w:val="24"/>
        </w:rPr>
        <w:t xml:space="preserve"> are NOT to be directed to any other member of </w:t>
      </w:r>
      <w:r w:rsidR="00757E2C" w:rsidRPr="00094B95">
        <w:rPr>
          <w:rFonts w:asciiTheme="minorHAnsi" w:hAnsiTheme="minorHAnsi" w:cstheme="minorHAnsi"/>
          <w:szCs w:val="24"/>
        </w:rPr>
        <w:t xml:space="preserve">the </w:t>
      </w:r>
      <w:proofErr w:type="gramStart"/>
      <w:r w:rsidR="003D66AF" w:rsidRPr="00B14275">
        <w:rPr>
          <w:rFonts w:asciiTheme="minorHAnsi" w:hAnsiTheme="minorHAnsi" w:cstheme="minorHAnsi"/>
          <w:szCs w:val="24"/>
        </w:rPr>
        <w:t>City</w:t>
      </w:r>
      <w:proofErr w:type="gramEnd"/>
      <w:r w:rsidR="00577B29" w:rsidRPr="00094B95">
        <w:rPr>
          <w:rFonts w:asciiTheme="minorHAnsi" w:hAnsiTheme="minorHAnsi" w:cstheme="minorHAnsi"/>
          <w:szCs w:val="24"/>
        </w:rPr>
        <w:t xml:space="preserve">. Any such action </w:t>
      </w:r>
      <w:r w:rsidR="00094B95">
        <w:rPr>
          <w:rFonts w:asciiTheme="minorHAnsi" w:hAnsiTheme="minorHAnsi" w:cstheme="minorHAnsi"/>
          <w:szCs w:val="24"/>
        </w:rPr>
        <w:t>may</w:t>
      </w:r>
      <w:r w:rsidR="00577B29" w:rsidRPr="00094B95">
        <w:rPr>
          <w:rFonts w:asciiTheme="minorHAnsi" w:hAnsiTheme="minorHAnsi" w:cstheme="minorHAnsi"/>
          <w:szCs w:val="24"/>
        </w:rPr>
        <w:t xml:space="preserve"> disqualify the Respondent from further consideration. Respondents may not rely upon verbal responses to any inquiry.</w:t>
      </w:r>
    </w:p>
    <w:p w14:paraId="23CE7798" w14:textId="77777777" w:rsidR="00094B95" w:rsidRDefault="00094B95" w:rsidP="00992E30">
      <w:pPr>
        <w:spacing w:after="0" w:line="240" w:lineRule="auto"/>
        <w:rPr>
          <w:rFonts w:asciiTheme="minorHAnsi" w:hAnsiTheme="minorHAnsi" w:cstheme="minorHAnsi"/>
          <w:b/>
          <w:sz w:val="28"/>
          <w:szCs w:val="28"/>
        </w:rPr>
      </w:pPr>
    </w:p>
    <w:p w14:paraId="36265E2C" w14:textId="6D384C27" w:rsidR="008A62A6" w:rsidRPr="00131853" w:rsidRDefault="00992E30" w:rsidP="00992E30">
      <w:pPr>
        <w:spacing w:after="0" w:line="240" w:lineRule="auto"/>
        <w:rPr>
          <w:rFonts w:asciiTheme="minorHAnsi" w:hAnsiTheme="minorHAnsi" w:cstheme="minorHAnsi"/>
          <w:b/>
          <w:sz w:val="28"/>
          <w:szCs w:val="28"/>
        </w:rPr>
      </w:pPr>
      <w:r w:rsidRPr="00131853">
        <w:rPr>
          <w:rFonts w:asciiTheme="minorHAnsi" w:hAnsiTheme="minorHAnsi" w:cstheme="minorHAnsi"/>
          <w:b/>
          <w:sz w:val="28"/>
          <w:szCs w:val="28"/>
        </w:rPr>
        <w:t xml:space="preserve">Selection Process </w:t>
      </w:r>
    </w:p>
    <w:p w14:paraId="712A10C8" w14:textId="56AFD27A" w:rsidR="00992E30" w:rsidRDefault="00094B95" w:rsidP="009F4526">
      <w:pPr>
        <w:spacing w:after="0" w:line="240" w:lineRule="auto"/>
        <w:rPr>
          <w:rFonts w:asciiTheme="minorHAnsi" w:hAnsiTheme="minorHAnsi" w:cstheme="minorHAnsi"/>
          <w:szCs w:val="24"/>
        </w:rPr>
      </w:pPr>
      <w:r w:rsidRPr="00131853">
        <w:rPr>
          <w:rFonts w:asciiTheme="minorHAnsi" w:hAnsiTheme="minorHAnsi" w:cstheme="minorHAnsi"/>
          <w:szCs w:val="24"/>
        </w:rPr>
        <w:t>Responses will be evaluated based upon the documented ability of the Respondent to satisfy the</w:t>
      </w:r>
      <w:r>
        <w:rPr>
          <w:rFonts w:asciiTheme="minorHAnsi" w:hAnsiTheme="minorHAnsi" w:cstheme="minorHAnsi"/>
          <w:szCs w:val="24"/>
        </w:rPr>
        <w:t xml:space="preserve"> </w:t>
      </w:r>
      <w:r w:rsidR="009F4526">
        <w:rPr>
          <w:rFonts w:asciiTheme="minorHAnsi" w:hAnsiTheme="minorHAnsi" w:cstheme="minorHAnsi"/>
          <w:szCs w:val="24"/>
        </w:rPr>
        <w:t>t</w:t>
      </w:r>
      <w:r>
        <w:rPr>
          <w:rFonts w:asciiTheme="minorHAnsi" w:hAnsiTheme="minorHAnsi" w:cstheme="minorHAnsi"/>
          <w:szCs w:val="24"/>
        </w:rPr>
        <w:t xml:space="preserve">hreshold </w:t>
      </w:r>
      <w:r w:rsidR="009F4526">
        <w:rPr>
          <w:rFonts w:asciiTheme="minorHAnsi" w:hAnsiTheme="minorHAnsi" w:cstheme="minorHAnsi"/>
          <w:szCs w:val="24"/>
        </w:rPr>
        <w:t>c</w:t>
      </w:r>
      <w:r>
        <w:rPr>
          <w:rFonts w:asciiTheme="minorHAnsi" w:hAnsiTheme="minorHAnsi" w:cstheme="minorHAnsi"/>
          <w:szCs w:val="24"/>
        </w:rPr>
        <w:t>riteria and the</w:t>
      </w:r>
      <w:r w:rsidRPr="00131853">
        <w:rPr>
          <w:rFonts w:asciiTheme="minorHAnsi" w:hAnsiTheme="minorHAnsi" w:cstheme="minorHAnsi"/>
          <w:szCs w:val="24"/>
        </w:rPr>
        <w:t xml:space="preserve"> requirements of this RFQP</w:t>
      </w:r>
      <w:r w:rsidR="009F4526">
        <w:rPr>
          <w:rFonts w:asciiTheme="minorHAnsi" w:hAnsiTheme="minorHAnsi" w:cstheme="minorHAnsi"/>
          <w:szCs w:val="24"/>
        </w:rPr>
        <w:t xml:space="preserve">. </w:t>
      </w:r>
      <w:r>
        <w:rPr>
          <w:rFonts w:asciiTheme="minorHAnsi" w:hAnsiTheme="minorHAnsi" w:cstheme="minorHAnsi"/>
          <w:szCs w:val="24"/>
        </w:rPr>
        <w:t>Respondent</w:t>
      </w:r>
      <w:r w:rsidR="009F4526">
        <w:rPr>
          <w:rFonts w:asciiTheme="minorHAnsi" w:hAnsiTheme="minorHAnsi" w:cstheme="minorHAnsi"/>
          <w:szCs w:val="24"/>
        </w:rPr>
        <w:t xml:space="preserve">s passing the threshold </w:t>
      </w:r>
      <w:r w:rsidR="009F4526" w:rsidRPr="009F4526">
        <w:rPr>
          <w:rFonts w:asciiTheme="minorHAnsi" w:hAnsiTheme="minorHAnsi" w:cstheme="minorHAnsi"/>
          <w:szCs w:val="24"/>
        </w:rPr>
        <w:t xml:space="preserve">requirements will be </w:t>
      </w:r>
      <w:r w:rsidR="009F4526">
        <w:rPr>
          <w:rFonts w:asciiTheme="minorHAnsi" w:hAnsiTheme="minorHAnsi" w:cstheme="minorHAnsi"/>
          <w:szCs w:val="24"/>
        </w:rPr>
        <w:t xml:space="preserve">further </w:t>
      </w:r>
      <w:r w:rsidR="009F4526" w:rsidRPr="009F4526">
        <w:rPr>
          <w:rFonts w:asciiTheme="minorHAnsi" w:hAnsiTheme="minorHAnsi" w:cstheme="minorHAnsi"/>
          <w:szCs w:val="24"/>
        </w:rPr>
        <w:t xml:space="preserve">evaluated against </w:t>
      </w:r>
      <w:r w:rsidR="009F4526">
        <w:rPr>
          <w:rFonts w:asciiTheme="minorHAnsi" w:hAnsiTheme="minorHAnsi" w:cstheme="minorHAnsi"/>
          <w:szCs w:val="24"/>
        </w:rPr>
        <w:t>the selection criteria.</w:t>
      </w:r>
      <w:r w:rsidR="00124946" w:rsidRPr="00124946">
        <w:rPr>
          <w:rFonts w:asciiTheme="minorHAnsi" w:hAnsiTheme="minorHAnsi" w:cstheme="minorHAnsi"/>
          <w:szCs w:val="24"/>
        </w:rPr>
        <w:t xml:space="preserve"> </w:t>
      </w:r>
      <w:r w:rsidR="00124946">
        <w:rPr>
          <w:rFonts w:asciiTheme="minorHAnsi" w:hAnsiTheme="minorHAnsi" w:cstheme="minorHAnsi"/>
          <w:szCs w:val="24"/>
        </w:rPr>
        <w:t xml:space="preserve">Both the Threshold and Selection criteria are detailed below. </w:t>
      </w:r>
      <w:r w:rsidR="00124946" w:rsidRPr="00124946">
        <w:rPr>
          <w:rFonts w:asciiTheme="minorHAnsi" w:hAnsiTheme="minorHAnsi" w:cstheme="minorHAnsi"/>
          <w:szCs w:val="24"/>
        </w:rPr>
        <w:t xml:space="preserve">It is expected that the review committee will include </w:t>
      </w:r>
      <w:r w:rsidR="00B14275">
        <w:rPr>
          <w:rFonts w:asciiTheme="minorHAnsi" w:hAnsiTheme="minorHAnsi" w:cstheme="minorHAnsi"/>
          <w:szCs w:val="24"/>
        </w:rPr>
        <w:t>three</w:t>
      </w:r>
      <w:r w:rsidR="00124946" w:rsidRPr="00124946">
        <w:rPr>
          <w:rFonts w:asciiTheme="minorHAnsi" w:hAnsiTheme="minorHAnsi" w:cstheme="minorHAnsi"/>
          <w:szCs w:val="24"/>
        </w:rPr>
        <w:t xml:space="preserve"> people.  Each reviewer will complete the scoring independently. Ratings will be assigned by reviewers and multiplied by the weight to determine the score.  </w:t>
      </w:r>
      <w:proofErr w:type="gramStart"/>
      <w:r w:rsidR="00124946" w:rsidRPr="00124946">
        <w:rPr>
          <w:rFonts w:asciiTheme="minorHAnsi" w:hAnsiTheme="minorHAnsi" w:cstheme="minorHAnsi"/>
          <w:szCs w:val="24"/>
        </w:rPr>
        <w:t>All of</w:t>
      </w:r>
      <w:proofErr w:type="gramEnd"/>
      <w:r w:rsidR="00124946" w:rsidRPr="00124946">
        <w:rPr>
          <w:rFonts w:asciiTheme="minorHAnsi" w:hAnsiTheme="minorHAnsi" w:cstheme="minorHAnsi"/>
          <w:szCs w:val="24"/>
        </w:rPr>
        <w:t xml:space="preserve"> the scores will be combined for each Respondent to determine a total score</w:t>
      </w:r>
      <w:r w:rsidR="00124946">
        <w:rPr>
          <w:rFonts w:asciiTheme="minorHAnsi" w:hAnsiTheme="minorHAnsi" w:cstheme="minorHAnsi"/>
          <w:szCs w:val="24"/>
        </w:rPr>
        <w:t xml:space="preserve">. </w:t>
      </w:r>
    </w:p>
    <w:p w14:paraId="049DA46B" w14:textId="77777777" w:rsidR="002C641D" w:rsidRDefault="002C641D" w:rsidP="009F4526">
      <w:pPr>
        <w:spacing w:after="0" w:line="240" w:lineRule="auto"/>
        <w:rPr>
          <w:rFonts w:asciiTheme="minorHAnsi" w:hAnsiTheme="minorHAnsi" w:cstheme="minorHAnsi"/>
          <w:szCs w:val="24"/>
        </w:rPr>
      </w:pPr>
    </w:p>
    <w:p w14:paraId="1865BFD3" w14:textId="747C6C80" w:rsidR="002C641D" w:rsidRPr="00131853" w:rsidRDefault="002C641D" w:rsidP="009F4526">
      <w:pPr>
        <w:spacing w:after="0" w:line="240" w:lineRule="auto"/>
        <w:rPr>
          <w:rFonts w:asciiTheme="minorHAnsi" w:hAnsiTheme="minorHAnsi" w:cstheme="minorHAnsi"/>
          <w:szCs w:val="24"/>
        </w:rPr>
      </w:pPr>
      <w:r>
        <w:rPr>
          <w:rFonts w:asciiTheme="minorHAnsi" w:hAnsiTheme="minorHAnsi" w:cstheme="minorHAnsi"/>
          <w:szCs w:val="24"/>
        </w:rPr>
        <w:t xml:space="preserve">Selection is anticipated to be </w:t>
      </w:r>
      <w:proofErr w:type="gramStart"/>
      <w:r>
        <w:rPr>
          <w:rFonts w:asciiTheme="minorHAnsi" w:hAnsiTheme="minorHAnsi" w:cstheme="minorHAnsi"/>
          <w:szCs w:val="24"/>
        </w:rPr>
        <w:t>complete</w:t>
      </w:r>
      <w:proofErr w:type="gramEnd"/>
      <w:r>
        <w:rPr>
          <w:rFonts w:asciiTheme="minorHAnsi" w:hAnsiTheme="minorHAnsi" w:cstheme="minorHAnsi"/>
          <w:szCs w:val="24"/>
        </w:rPr>
        <w:t xml:space="preserve"> by November 6, </w:t>
      </w:r>
      <w:proofErr w:type="gramStart"/>
      <w:r>
        <w:rPr>
          <w:rFonts w:asciiTheme="minorHAnsi" w:hAnsiTheme="minorHAnsi" w:cstheme="minorHAnsi"/>
          <w:szCs w:val="24"/>
        </w:rPr>
        <w:t>2025</w:t>
      </w:r>
      <w:proofErr w:type="gramEnd"/>
      <w:r>
        <w:rPr>
          <w:rFonts w:asciiTheme="minorHAnsi" w:hAnsiTheme="minorHAnsi" w:cstheme="minorHAnsi"/>
          <w:szCs w:val="24"/>
        </w:rPr>
        <w:t xml:space="preserve"> with notification and contract execution completed shortly thereafter and not later than the end of the month. </w:t>
      </w:r>
    </w:p>
    <w:p w14:paraId="4DBB46C5" w14:textId="77777777" w:rsidR="00341B1E" w:rsidRDefault="00341B1E" w:rsidP="00094B95">
      <w:pPr>
        <w:spacing w:after="0" w:line="240" w:lineRule="auto"/>
        <w:rPr>
          <w:rFonts w:asciiTheme="minorHAnsi" w:hAnsiTheme="minorHAnsi" w:cstheme="minorHAnsi"/>
          <w:szCs w:val="24"/>
        </w:rPr>
      </w:pPr>
    </w:p>
    <w:p w14:paraId="3E5DCAE7" w14:textId="77777777" w:rsidR="002C641D" w:rsidRPr="00131853" w:rsidRDefault="002C641D" w:rsidP="00094B95">
      <w:pPr>
        <w:spacing w:after="0" w:line="240" w:lineRule="auto"/>
        <w:rPr>
          <w:rFonts w:asciiTheme="minorHAnsi" w:hAnsiTheme="minorHAnsi" w:cstheme="minorHAnsi"/>
          <w:szCs w:val="24"/>
        </w:rPr>
      </w:pPr>
    </w:p>
    <w:p w14:paraId="28932761" w14:textId="77777777" w:rsidR="00F119D4" w:rsidRPr="00131853" w:rsidRDefault="00F119D4" w:rsidP="008A4234">
      <w:pPr>
        <w:spacing w:after="0" w:line="240" w:lineRule="auto"/>
        <w:rPr>
          <w:rFonts w:asciiTheme="minorHAnsi" w:hAnsiTheme="minorHAnsi" w:cstheme="minorHAnsi"/>
          <w:b/>
          <w:sz w:val="28"/>
          <w:szCs w:val="28"/>
        </w:rPr>
      </w:pPr>
      <w:r w:rsidRPr="00131853">
        <w:rPr>
          <w:rFonts w:asciiTheme="minorHAnsi" w:hAnsiTheme="minorHAnsi" w:cstheme="minorHAnsi"/>
          <w:b/>
          <w:sz w:val="28"/>
          <w:szCs w:val="28"/>
        </w:rPr>
        <w:t>Evaluation Process</w:t>
      </w:r>
    </w:p>
    <w:p w14:paraId="305A7B92" w14:textId="2423DDF9" w:rsidR="008A4234" w:rsidRPr="00131853" w:rsidRDefault="008A4234" w:rsidP="008A4234">
      <w:pPr>
        <w:spacing w:after="0" w:line="240" w:lineRule="auto"/>
        <w:rPr>
          <w:rFonts w:asciiTheme="minorHAnsi" w:hAnsiTheme="minorHAnsi" w:cstheme="minorHAnsi"/>
          <w:szCs w:val="24"/>
        </w:rPr>
      </w:pPr>
      <w:r w:rsidRPr="00131853">
        <w:rPr>
          <w:rFonts w:asciiTheme="minorHAnsi" w:hAnsiTheme="minorHAnsi" w:cstheme="minorHAnsi"/>
          <w:szCs w:val="24"/>
        </w:rPr>
        <w:t xml:space="preserve">Respondents </w:t>
      </w:r>
      <w:r w:rsidR="000644B2" w:rsidRPr="00131853">
        <w:rPr>
          <w:rFonts w:asciiTheme="minorHAnsi" w:hAnsiTheme="minorHAnsi" w:cstheme="minorHAnsi"/>
          <w:szCs w:val="24"/>
        </w:rPr>
        <w:t xml:space="preserve">will be ranked based on qualifications and project understanding as determined </w:t>
      </w:r>
      <w:r w:rsidR="002851EB">
        <w:rPr>
          <w:rFonts w:asciiTheme="minorHAnsi" w:hAnsiTheme="minorHAnsi" w:cstheme="minorHAnsi"/>
          <w:szCs w:val="24"/>
        </w:rPr>
        <w:t xml:space="preserve">to be </w:t>
      </w:r>
      <w:r w:rsidR="000644B2" w:rsidRPr="00131853">
        <w:rPr>
          <w:rFonts w:asciiTheme="minorHAnsi" w:hAnsiTheme="minorHAnsi" w:cstheme="minorHAnsi"/>
          <w:szCs w:val="24"/>
        </w:rPr>
        <w:t xml:space="preserve">in the best interests of the </w:t>
      </w:r>
      <w:proofErr w:type="gramStart"/>
      <w:r w:rsidR="003D66AF" w:rsidRPr="002C641D">
        <w:rPr>
          <w:rFonts w:asciiTheme="minorHAnsi" w:hAnsiTheme="minorHAnsi" w:cstheme="minorHAnsi"/>
          <w:szCs w:val="24"/>
        </w:rPr>
        <w:t>City</w:t>
      </w:r>
      <w:proofErr w:type="gramEnd"/>
      <w:r w:rsidR="000644B2" w:rsidRPr="00131853">
        <w:rPr>
          <w:rFonts w:asciiTheme="minorHAnsi" w:hAnsiTheme="minorHAnsi" w:cstheme="minorHAnsi"/>
          <w:szCs w:val="24"/>
        </w:rPr>
        <w:t xml:space="preserve">.  Those </w:t>
      </w:r>
      <w:r w:rsidRPr="00131853">
        <w:rPr>
          <w:rFonts w:asciiTheme="minorHAnsi" w:hAnsiTheme="minorHAnsi" w:cstheme="minorHAnsi"/>
          <w:szCs w:val="24"/>
        </w:rPr>
        <w:t>that satisfy the threshold eligibility requirements above will be evaluated</w:t>
      </w:r>
      <w:r w:rsidR="00EC58CC" w:rsidRPr="00131853">
        <w:rPr>
          <w:rFonts w:asciiTheme="minorHAnsi" w:hAnsiTheme="minorHAnsi" w:cstheme="minorHAnsi"/>
          <w:szCs w:val="24"/>
        </w:rPr>
        <w:t xml:space="preserve"> against the additional selection criteria listed below. </w:t>
      </w:r>
    </w:p>
    <w:tbl>
      <w:tblPr>
        <w:tblStyle w:val="TableGrid1"/>
        <w:tblW w:w="10057" w:type="dxa"/>
        <w:tblLook w:val="04A0" w:firstRow="1" w:lastRow="0" w:firstColumn="1" w:lastColumn="0" w:noHBand="0" w:noVBand="1"/>
      </w:tblPr>
      <w:tblGrid>
        <w:gridCol w:w="5787"/>
        <w:gridCol w:w="1401"/>
        <w:gridCol w:w="1545"/>
        <w:gridCol w:w="1324"/>
      </w:tblGrid>
      <w:tr w:rsidR="002851EB" w:rsidRPr="002851EB" w14:paraId="0A8CDC3E" w14:textId="77777777" w:rsidTr="002851EB">
        <w:tc>
          <w:tcPr>
            <w:tcW w:w="5787" w:type="dxa"/>
          </w:tcPr>
          <w:p w14:paraId="7AFDD2A1" w14:textId="77777777" w:rsidR="002851EB" w:rsidRPr="002851EB" w:rsidRDefault="002851EB" w:rsidP="002851EB">
            <w:pPr>
              <w:rPr>
                <w:rFonts w:eastAsia="Calibri" w:cs="Times New Roman"/>
                <w:b/>
                <w:bCs/>
              </w:rPr>
            </w:pPr>
            <w:r w:rsidRPr="002851EB">
              <w:rPr>
                <w:rFonts w:eastAsia="Calibri" w:cs="Times New Roman"/>
                <w:b/>
                <w:bCs/>
              </w:rPr>
              <w:t>Written Proposal Criteria</w:t>
            </w:r>
          </w:p>
        </w:tc>
        <w:tc>
          <w:tcPr>
            <w:tcW w:w="1401" w:type="dxa"/>
          </w:tcPr>
          <w:p w14:paraId="76865495" w14:textId="77777777" w:rsidR="002851EB" w:rsidRPr="002851EB" w:rsidRDefault="002851EB" w:rsidP="002851EB">
            <w:pPr>
              <w:jc w:val="center"/>
              <w:rPr>
                <w:rFonts w:eastAsia="Calibri" w:cs="Times New Roman"/>
                <w:b/>
                <w:bCs/>
              </w:rPr>
            </w:pPr>
            <w:r w:rsidRPr="002851EB">
              <w:rPr>
                <w:rFonts w:eastAsia="Calibri" w:cs="Times New Roman"/>
                <w:b/>
                <w:bCs/>
              </w:rPr>
              <w:t>Rating Score</w:t>
            </w:r>
          </w:p>
          <w:p w14:paraId="1A67E020" w14:textId="77777777" w:rsidR="002851EB" w:rsidRPr="002851EB" w:rsidRDefault="002851EB" w:rsidP="002851EB">
            <w:pPr>
              <w:jc w:val="center"/>
              <w:rPr>
                <w:rFonts w:eastAsia="Calibri" w:cs="Times New Roman"/>
                <w:b/>
                <w:bCs/>
              </w:rPr>
            </w:pPr>
            <w:r w:rsidRPr="002851EB">
              <w:rPr>
                <w:rFonts w:eastAsia="Calibri" w:cs="Times New Roman"/>
                <w:b/>
                <w:bCs/>
              </w:rPr>
              <w:t>(1-5)</w:t>
            </w:r>
          </w:p>
        </w:tc>
        <w:tc>
          <w:tcPr>
            <w:tcW w:w="1545" w:type="dxa"/>
          </w:tcPr>
          <w:p w14:paraId="3246E47D" w14:textId="77777777" w:rsidR="002851EB" w:rsidRDefault="002851EB" w:rsidP="002851EB">
            <w:pPr>
              <w:rPr>
                <w:rFonts w:eastAsia="Calibri" w:cs="Times New Roman"/>
                <w:b/>
                <w:bCs/>
              </w:rPr>
            </w:pPr>
            <w:r w:rsidRPr="002851EB">
              <w:rPr>
                <w:rFonts w:eastAsia="Calibri" w:cs="Times New Roman"/>
                <w:b/>
                <w:bCs/>
              </w:rPr>
              <w:t>Weight</w:t>
            </w:r>
          </w:p>
          <w:p w14:paraId="1E0DF92E" w14:textId="5F5DA134" w:rsidR="001F1C52" w:rsidRPr="002851EB" w:rsidRDefault="001F1C52" w:rsidP="002851EB">
            <w:pPr>
              <w:rPr>
                <w:rFonts w:eastAsia="Calibri" w:cs="Times New Roman"/>
                <w:b/>
                <w:bCs/>
              </w:rPr>
            </w:pPr>
          </w:p>
        </w:tc>
        <w:tc>
          <w:tcPr>
            <w:tcW w:w="1324" w:type="dxa"/>
          </w:tcPr>
          <w:p w14:paraId="191D0D1D" w14:textId="77777777" w:rsidR="002851EB" w:rsidRPr="002851EB" w:rsidRDefault="002851EB" w:rsidP="002851EB">
            <w:pPr>
              <w:rPr>
                <w:rFonts w:eastAsia="Calibri" w:cs="Times New Roman"/>
                <w:b/>
                <w:bCs/>
              </w:rPr>
            </w:pPr>
            <w:r w:rsidRPr="002851EB">
              <w:rPr>
                <w:rFonts w:eastAsia="Calibri" w:cs="Times New Roman"/>
                <w:b/>
                <w:bCs/>
              </w:rPr>
              <w:t>Comments</w:t>
            </w:r>
          </w:p>
        </w:tc>
      </w:tr>
      <w:tr w:rsidR="002851EB" w:rsidRPr="002851EB" w14:paraId="593B91C7" w14:textId="77777777" w:rsidTr="002851EB">
        <w:tc>
          <w:tcPr>
            <w:tcW w:w="5787" w:type="dxa"/>
          </w:tcPr>
          <w:p w14:paraId="58E9EDAB" w14:textId="2E0DB821" w:rsidR="002851EB" w:rsidRPr="002851EB" w:rsidRDefault="00B6141F" w:rsidP="002851EB">
            <w:pPr>
              <w:rPr>
                <w:rFonts w:eastAsia="Calibri" w:cs="Times New Roman"/>
              </w:rPr>
            </w:pPr>
            <w:r>
              <w:rPr>
                <w:rFonts w:eastAsia="Calibri" w:cs="Times New Roman"/>
              </w:rPr>
              <w:t>Reasonableness of cost/price</w:t>
            </w:r>
            <w:r w:rsidR="002851EB" w:rsidRPr="002851EB">
              <w:rPr>
                <w:rFonts w:eastAsia="Calibri" w:cs="Times New Roman"/>
              </w:rPr>
              <w:t xml:space="preserve"> </w:t>
            </w:r>
          </w:p>
        </w:tc>
        <w:tc>
          <w:tcPr>
            <w:tcW w:w="1401" w:type="dxa"/>
          </w:tcPr>
          <w:p w14:paraId="214FAD56" w14:textId="77777777" w:rsidR="002851EB" w:rsidRPr="002851EB" w:rsidRDefault="002851EB" w:rsidP="002851EB">
            <w:pPr>
              <w:rPr>
                <w:rFonts w:eastAsia="Calibri" w:cs="Times New Roman"/>
              </w:rPr>
            </w:pPr>
          </w:p>
        </w:tc>
        <w:tc>
          <w:tcPr>
            <w:tcW w:w="1545" w:type="dxa"/>
          </w:tcPr>
          <w:p w14:paraId="08B98B85" w14:textId="5F4C17A4" w:rsidR="002851EB" w:rsidRPr="002851EB" w:rsidRDefault="00B6141F" w:rsidP="002851EB">
            <w:pPr>
              <w:rPr>
                <w:rFonts w:eastAsia="Calibri" w:cs="Times New Roman"/>
              </w:rPr>
            </w:pPr>
            <w:r>
              <w:rPr>
                <w:rFonts w:eastAsia="Calibri" w:cs="Times New Roman"/>
              </w:rPr>
              <w:t>25%</w:t>
            </w:r>
          </w:p>
        </w:tc>
        <w:tc>
          <w:tcPr>
            <w:tcW w:w="1324" w:type="dxa"/>
          </w:tcPr>
          <w:p w14:paraId="512A2789" w14:textId="77777777" w:rsidR="002851EB" w:rsidRPr="002851EB" w:rsidRDefault="002851EB" w:rsidP="002851EB">
            <w:pPr>
              <w:rPr>
                <w:rFonts w:eastAsia="Calibri" w:cs="Times New Roman"/>
              </w:rPr>
            </w:pPr>
          </w:p>
        </w:tc>
      </w:tr>
      <w:tr w:rsidR="002851EB" w:rsidRPr="002851EB" w14:paraId="6657B9F8" w14:textId="77777777" w:rsidTr="002851EB">
        <w:tc>
          <w:tcPr>
            <w:tcW w:w="5787" w:type="dxa"/>
          </w:tcPr>
          <w:p w14:paraId="5D54656B" w14:textId="0BCEC97E" w:rsidR="002851EB" w:rsidRPr="002851EB" w:rsidRDefault="002851EB" w:rsidP="002851EB">
            <w:pPr>
              <w:rPr>
                <w:rFonts w:eastAsia="Calibri" w:cs="Times New Roman"/>
              </w:rPr>
            </w:pPr>
            <w:r w:rsidRPr="002851EB">
              <w:rPr>
                <w:rFonts w:eastAsia="Calibri" w:cs="Times New Roman"/>
              </w:rPr>
              <w:t>Resources and key personnel available to perform work in reasonable time frame</w:t>
            </w:r>
            <w:r w:rsidR="00B6141F">
              <w:rPr>
                <w:rFonts w:eastAsia="Calibri" w:cs="Times New Roman"/>
              </w:rPr>
              <w:t>, capacity of team</w:t>
            </w:r>
          </w:p>
        </w:tc>
        <w:tc>
          <w:tcPr>
            <w:tcW w:w="1401" w:type="dxa"/>
          </w:tcPr>
          <w:p w14:paraId="09C3A9D1" w14:textId="77777777" w:rsidR="002851EB" w:rsidRPr="002851EB" w:rsidRDefault="002851EB" w:rsidP="002851EB">
            <w:pPr>
              <w:rPr>
                <w:rFonts w:eastAsia="Calibri" w:cs="Times New Roman"/>
              </w:rPr>
            </w:pPr>
          </w:p>
        </w:tc>
        <w:tc>
          <w:tcPr>
            <w:tcW w:w="1545" w:type="dxa"/>
          </w:tcPr>
          <w:p w14:paraId="325678A4" w14:textId="39C503FB" w:rsidR="002851EB" w:rsidRPr="002851EB" w:rsidRDefault="00B6141F" w:rsidP="002851EB">
            <w:pPr>
              <w:rPr>
                <w:rFonts w:eastAsia="Calibri" w:cs="Times New Roman"/>
              </w:rPr>
            </w:pPr>
            <w:r>
              <w:rPr>
                <w:rFonts w:eastAsia="Calibri" w:cs="Times New Roman"/>
              </w:rPr>
              <w:t>10%</w:t>
            </w:r>
          </w:p>
        </w:tc>
        <w:tc>
          <w:tcPr>
            <w:tcW w:w="1324" w:type="dxa"/>
          </w:tcPr>
          <w:p w14:paraId="3A5EEA85" w14:textId="77777777" w:rsidR="002851EB" w:rsidRPr="002851EB" w:rsidRDefault="002851EB" w:rsidP="002851EB">
            <w:pPr>
              <w:rPr>
                <w:rFonts w:eastAsia="Calibri" w:cs="Times New Roman"/>
              </w:rPr>
            </w:pPr>
          </w:p>
        </w:tc>
      </w:tr>
      <w:tr w:rsidR="002851EB" w:rsidRPr="002851EB" w14:paraId="0DFF0840" w14:textId="77777777" w:rsidTr="002851EB">
        <w:tc>
          <w:tcPr>
            <w:tcW w:w="5787" w:type="dxa"/>
          </w:tcPr>
          <w:p w14:paraId="4E864E23" w14:textId="77777777" w:rsidR="002851EB" w:rsidRPr="002851EB" w:rsidRDefault="002851EB" w:rsidP="002851EB">
            <w:pPr>
              <w:rPr>
                <w:rFonts w:eastAsia="Calibri" w:cs="Times New Roman"/>
              </w:rPr>
            </w:pPr>
            <w:r w:rsidRPr="002851EB">
              <w:rPr>
                <w:rFonts w:eastAsia="Calibri" w:cs="Times New Roman"/>
              </w:rPr>
              <w:lastRenderedPageBreak/>
              <w:t>Respondent’s approach to successfully complete each scope of services task</w:t>
            </w:r>
          </w:p>
        </w:tc>
        <w:tc>
          <w:tcPr>
            <w:tcW w:w="1401" w:type="dxa"/>
          </w:tcPr>
          <w:p w14:paraId="117075E6" w14:textId="77777777" w:rsidR="002851EB" w:rsidRPr="002851EB" w:rsidRDefault="002851EB" w:rsidP="002851EB">
            <w:pPr>
              <w:rPr>
                <w:rFonts w:eastAsia="Calibri" w:cs="Times New Roman"/>
              </w:rPr>
            </w:pPr>
          </w:p>
        </w:tc>
        <w:tc>
          <w:tcPr>
            <w:tcW w:w="1545" w:type="dxa"/>
          </w:tcPr>
          <w:p w14:paraId="2267C296" w14:textId="100C1EE4" w:rsidR="002851EB" w:rsidRPr="002851EB" w:rsidRDefault="00B6141F" w:rsidP="002851EB">
            <w:pPr>
              <w:rPr>
                <w:rFonts w:eastAsia="Calibri" w:cs="Times New Roman"/>
              </w:rPr>
            </w:pPr>
            <w:r>
              <w:rPr>
                <w:rFonts w:eastAsia="Calibri" w:cs="Times New Roman"/>
              </w:rPr>
              <w:t>25%</w:t>
            </w:r>
          </w:p>
        </w:tc>
        <w:tc>
          <w:tcPr>
            <w:tcW w:w="1324" w:type="dxa"/>
          </w:tcPr>
          <w:p w14:paraId="01A0B9A8" w14:textId="77777777" w:rsidR="002851EB" w:rsidRPr="002851EB" w:rsidRDefault="002851EB" w:rsidP="002851EB">
            <w:pPr>
              <w:rPr>
                <w:rFonts w:eastAsia="Calibri" w:cs="Times New Roman"/>
              </w:rPr>
            </w:pPr>
          </w:p>
        </w:tc>
      </w:tr>
      <w:tr w:rsidR="002851EB" w:rsidRPr="002851EB" w14:paraId="723C7AEB" w14:textId="77777777" w:rsidTr="002851EB">
        <w:tc>
          <w:tcPr>
            <w:tcW w:w="5787" w:type="dxa"/>
          </w:tcPr>
          <w:p w14:paraId="0BEC24CB" w14:textId="15953D5C" w:rsidR="002851EB" w:rsidRPr="002851EB" w:rsidRDefault="00B6141F" w:rsidP="002851EB">
            <w:pPr>
              <w:rPr>
                <w:rFonts w:eastAsia="Calibri" w:cs="Times New Roman"/>
              </w:rPr>
            </w:pPr>
            <w:r>
              <w:rPr>
                <w:rFonts w:eastAsia="Calibri" w:cs="Times New Roman"/>
              </w:rPr>
              <w:t>Experience in community engagement, working with federal/state agencies</w:t>
            </w:r>
          </w:p>
        </w:tc>
        <w:tc>
          <w:tcPr>
            <w:tcW w:w="1401" w:type="dxa"/>
          </w:tcPr>
          <w:p w14:paraId="7D4C3ECB" w14:textId="77777777" w:rsidR="002851EB" w:rsidRPr="002851EB" w:rsidRDefault="002851EB" w:rsidP="002851EB">
            <w:pPr>
              <w:rPr>
                <w:rFonts w:eastAsia="Calibri" w:cs="Times New Roman"/>
              </w:rPr>
            </w:pPr>
          </w:p>
        </w:tc>
        <w:tc>
          <w:tcPr>
            <w:tcW w:w="1545" w:type="dxa"/>
          </w:tcPr>
          <w:p w14:paraId="7111FF65" w14:textId="0A11E490" w:rsidR="002851EB" w:rsidRPr="002851EB" w:rsidRDefault="00B6141F" w:rsidP="002851EB">
            <w:pPr>
              <w:rPr>
                <w:rFonts w:eastAsia="Calibri" w:cs="Times New Roman"/>
              </w:rPr>
            </w:pPr>
            <w:r>
              <w:rPr>
                <w:rFonts w:eastAsia="Calibri" w:cs="Times New Roman"/>
              </w:rPr>
              <w:t>10%</w:t>
            </w:r>
          </w:p>
        </w:tc>
        <w:tc>
          <w:tcPr>
            <w:tcW w:w="1324" w:type="dxa"/>
          </w:tcPr>
          <w:p w14:paraId="5A7FC1D9" w14:textId="77777777" w:rsidR="002851EB" w:rsidRPr="002851EB" w:rsidRDefault="002851EB" w:rsidP="002851EB">
            <w:pPr>
              <w:rPr>
                <w:rFonts w:eastAsia="Calibri" w:cs="Times New Roman"/>
              </w:rPr>
            </w:pPr>
          </w:p>
        </w:tc>
      </w:tr>
      <w:tr w:rsidR="002851EB" w:rsidRPr="002851EB" w14:paraId="711631AC" w14:textId="77777777" w:rsidTr="002851EB">
        <w:tc>
          <w:tcPr>
            <w:tcW w:w="5787" w:type="dxa"/>
          </w:tcPr>
          <w:p w14:paraId="15448874" w14:textId="60A39FE0" w:rsidR="002851EB" w:rsidRPr="002851EB" w:rsidRDefault="002851EB" w:rsidP="002851EB">
            <w:pPr>
              <w:rPr>
                <w:rFonts w:eastAsia="Calibri" w:cs="Times New Roman"/>
              </w:rPr>
            </w:pPr>
            <w:r w:rsidRPr="002851EB">
              <w:rPr>
                <w:rFonts w:eastAsia="Calibri" w:cs="Times New Roman"/>
              </w:rPr>
              <w:t>Specific experiences</w:t>
            </w:r>
            <w:r>
              <w:rPr>
                <w:rFonts w:eastAsia="Calibri" w:cs="Times New Roman"/>
              </w:rPr>
              <w:t>, references</w:t>
            </w:r>
            <w:r w:rsidRPr="002851EB">
              <w:rPr>
                <w:rFonts w:eastAsia="Calibri" w:cs="Times New Roman"/>
              </w:rPr>
              <w:t xml:space="preserve"> and/or considerations the Respondent has that makes it uniquely qualified</w:t>
            </w:r>
          </w:p>
        </w:tc>
        <w:tc>
          <w:tcPr>
            <w:tcW w:w="1401" w:type="dxa"/>
          </w:tcPr>
          <w:p w14:paraId="01338005" w14:textId="77777777" w:rsidR="002851EB" w:rsidRPr="002851EB" w:rsidRDefault="002851EB" w:rsidP="002851EB">
            <w:pPr>
              <w:rPr>
                <w:rFonts w:eastAsia="Calibri" w:cs="Times New Roman"/>
              </w:rPr>
            </w:pPr>
          </w:p>
        </w:tc>
        <w:tc>
          <w:tcPr>
            <w:tcW w:w="1545" w:type="dxa"/>
          </w:tcPr>
          <w:p w14:paraId="2FC2E3EF" w14:textId="4A62028B" w:rsidR="002851EB" w:rsidRPr="002851EB" w:rsidRDefault="00B6141F" w:rsidP="002851EB">
            <w:pPr>
              <w:rPr>
                <w:rFonts w:eastAsia="Calibri" w:cs="Times New Roman"/>
              </w:rPr>
            </w:pPr>
            <w:r>
              <w:rPr>
                <w:rFonts w:eastAsia="Calibri" w:cs="Times New Roman"/>
              </w:rPr>
              <w:t>30%</w:t>
            </w:r>
          </w:p>
        </w:tc>
        <w:tc>
          <w:tcPr>
            <w:tcW w:w="1324" w:type="dxa"/>
          </w:tcPr>
          <w:p w14:paraId="62AF106E" w14:textId="77777777" w:rsidR="002851EB" w:rsidRPr="002851EB" w:rsidRDefault="002851EB" w:rsidP="002851EB">
            <w:pPr>
              <w:rPr>
                <w:rFonts w:eastAsia="Calibri" w:cs="Times New Roman"/>
              </w:rPr>
            </w:pPr>
          </w:p>
        </w:tc>
      </w:tr>
      <w:tr w:rsidR="002851EB" w:rsidRPr="002851EB" w14:paraId="4D0B5CA6" w14:textId="77777777" w:rsidTr="002851EB">
        <w:tc>
          <w:tcPr>
            <w:tcW w:w="5787" w:type="dxa"/>
          </w:tcPr>
          <w:p w14:paraId="044EB8C5" w14:textId="77777777" w:rsidR="002851EB" w:rsidRPr="002851EB" w:rsidRDefault="002851EB" w:rsidP="002851EB">
            <w:pPr>
              <w:jc w:val="right"/>
              <w:rPr>
                <w:rFonts w:eastAsia="Calibri" w:cs="Times New Roman"/>
                <w:b/>
                <w:bCs/>
              </w:rPr>
            </w:pPr>
            <w:r w:rsidRPr="002851EB">
              <w:rPr>
                <w:rFonts w:eastAsia="Calibri" w:cs="Times New Roman"/>
                <w:b/>
                <w:bCs/>
              </w:rPr>
              <w:t>Ratings:</w:t>
            </w:r>
          </w:p>
        </w:tc>
        <w:tc>
          <w:tcPr>
            <w:tcW w:w="1401" w:type="dxa"/>
          </w:tcPr>
          <w:p w14:paraId="5B130C8C" w14:textId="77777777" w:rsidR="002851EB" w:rsidRPr="002851EB" w:rsidRDefault="002851EB" w:rsidP="002851EB">
            <w:pPr>
              <w:rPr>
                <w:rFonts w:eastAsia="Calibri" w:cs="Times New Roman"/>
              </w:rPr>
            </w:pPr>
          </w:p>
        </w:tc>
        <w:tc>
          <w:tcPr>
            <w:tcW w:w="1545" w:type="dxa"/>
          </w:tcPr>
          <w:p w14:paraId="04D52C6E" w14:textId="77777777" w:rsidR="002851EB" w:rsidRPr="002851EB" w:rsidRDefault="002851EB" w:rsidP="002851EB">
            <w:pPr>
              <w:rPr>
                <w:rFonts w:eastAsia="Calibri" w:cs="Times New Roman"/>
              </w:rPr>
            </w:pPr>
          </w:p>
        </w:tc>
        <w:tc>
          <w:tcPr>
            <w:tcW w:w="1324" w:type="dxa"/>
          </w:tcPr>
          <w:p w14:paraId="01163C13" w14:textId="77777777" w:rsidR="002851EB" w:rsidRPr="002851EB" w:rsidRDefault="002851EB" w:rsidP="002851EB">
            <w:pPr>
              <w:rPr>
                <w:rFonts w:eastAsia="Calibri" w:cs="Times New Roman"/>
              </w:rPr>
            </w:pPr>
          </w:p>
        </w:tc>
      </w:tr>
      <w:tr w:rsidR="002851EB" w:rsidRPr="002851EB" w14:paraId="47E494E1" w14:textId="77777777" w:rsidTr="002851EB">
        <w:tc>
          <w:tcPr>
            <w:tcW w:w="5787" w:type="dxa"/>
          </w:tcPr>
          <w:p w14:paraId="47EE2B8A" w14:textId="77777777" w:rsidR="002851EB" w:rsidRPr="002851EB" w:rsidRDefault="002851EB" w:rsidP="002851EB">
            <w:pPr>
              <w:jc w:val="right"/>
              <w:rPr>
                <w:rFonts w:eastAsia="Calibri" w:cs="Times New Roman"/>
              </w:rPr>
            </w:pPr>
            <w:r w:rsidRPr="002851EB">
              <w:rPr>
                <w:rFonts w:eastAsia="Calibri" w:cs="Times New Roman"/>
              </w:rPr>
              <w:t>Clearly Outstanding in this item</w:t>
            </w:r>
          </w:p>
          <w:p w14:paraId="17092D45" w14:textId="77777777" w:rsidR="002851EB" w:rsidRPr="002851EB" w:rsidRDefault="002851EB" w:rsidP="002851EB">
            <w:pPr>
              <w:jc w:val="right"/>
              <w:rPr>
                <w:rFonts w:eastAsia="Calibri" w:cs="Times New Roman"/>
              </w:rPr>
            </w:pPr>
            <w:r w:rsidRPr="002851EB">
              <w:rPr>
                <w:rFonts w:eastAsia="Calibri" w:cs="Times New Roman"/>
              </w:rPr>
              <w:t>Well qualified in this item</w:t>
            </w:r>
          </w:p>
          <w:p w14:paraId="561A6544" w14:textId="77777777" w:rsidR="002851EB" w:rsidRPr="002851EB" w:rsidRDefault="002851EB" w:rsidP="002851EB">
            <w:pPr>
              <w:jc w:val="right"/>
              <w:rPr>
                <w:rFonts w:eastAsia="Calibri" w:cs="Times New Roman"/>
              </w:rPr>
            </w:pPr>
            <w:r w:rsidRPr="002851EB">
              <w:rPr>
                <w:rFonts w:eastAsia="Calibri" w:cs="Times New Roman"/>
              </w:rPr>
              <w:t>Average in this item</w:t>
            </w:r>
          </w:p>
          <w:p w14:paraId="4DABBA31" w14:textId="77777777" w:rsidR="002851EB" w:rsidRPr="002851EB" w:rsidRDefault="002851EB" w:rsidP="002851EB">
            <w:pPr>
              <w:jc w:val="right"/>
              <w:rPr>
                <w:rFonts w:eastAsia="Calibri" w:cs="Times New Roman"/>
              </w:rPr>
            </w:pPr>
            <w:r w:rsidRPr="002851EB">
              <w:rPr>
                <w:rFonts w:eastAsia="Calibri" w:cs="Times New Roman"/>
              </w:rPr>
              <w:t>Weak in this item</w:t>
            </w:r>
          </w:p>
          <w:p w14:paraId="5012D77F" w14:textId="77777777" w:rsidR="002851EB" w:rsidRPr="002851EB" w:rsidRDefault="002851EB" w:rsidP="002851EB">
            <w:pPr>
              <w:jc w:val="right"/>
              <w:rPr>
                <w:rFonts w:eastAsia="Calibri" w:cs="Times New Roman"/>
              </w:rPr>
            </w:pPr>
            <w:r w:rsidRPr="002851EB">
              <w:rPr>
                <w:rFonts w:eastAsia="Calibri" w:cs="Times New Roman"/>
              </w:rPr>
              <w:t>Unsatisfactory in this item</w:t>
            </w:r>
          </w:p>
          <w:p w14:paraId="7DE1F9FA" w14:textId="77777777" w:rsidR="002851EB" w:rsidRPr="002851EB" w:rsidRDefault="002851EB" w:rsidP="002851EB">
            <w:pPr>
              <w:jc w:val="right"/>
              <w:rPr>
                <w:rFonts w:eastAsia="Calibri" w:cs="Times New Roman"/>
              </w:rPr>
            </w:pPr>
            <w:r w:rsidRPr="002851EB">
              <w:rPr>
                <w:rFonts w:eastAsia="Calibri" w:cs="Times New Roman"/>
              </w:rPr>
              <w:t>Insufficient Response</w:t>
            </w:r>
          </w:p>
        </w:tc>
        <w:tc>
          <w:tcPr>
            <w:tcW w:w="4270" w:type="dxa"/>
            <w:gridSpan w:val="3"/>
          </w:tcPr>
          <w:p w14:paraId="613FD9AA" w14:textId="77777777" w:rsidR="002851EB" w:rsidRPr="002851EB" w:rsidRDefault="002851EB" w:rsidP="002851EB">
            <w:pPr>
              <w:rPr>
                <w:rFonts w:eastAsia="Calibri" w:cs="Times New Roman"/>
              </w:rPr>
            </w:pPr>
            <w:r w:rsidRPr="002851EB">
              <w:rPr>
                <w:rFonts w:eastAsia="Calibri" w:cs="Times New Roman"/>
              </w:rPr>
              <w:t>5</w:t>
            </w:r>
          </w:p>
          <w:p w14:paraId="698E33AF" w14:textId="77777777" w:rsidR="002851EB" w:rsidRPr="002851EB" w:rsidRDefault="002851EB" w:rsidP="002851EB">
            <w:pPr>
              <w:rPr>
                <w:rFonts w:eastAsia="Calibri" w:cs="Times New Roman"/>
              </w:rPr>
            </w:pPr>
            <w:r w:rsidRPr="002851EB">
              <w:rPr>
                <w:rFonts w:eastAsia="Calibri" w:cs="Times New Roman"/>
              </w:rPr>
              <w:t>4</w:t>
            </w:r>
          </w:p>
          <w:p w14:paraId="0F61B41E" w14:textId="77777777" w:rsidR="002851EB" w:rsidRPr="002851EB" w:rsidRDefault="002851EB" w:rsidP="002851EB">
            <w:pPr>
              <w:rPr>
                <w:rFonts w:eastAsia="Calibri" w:cs="Times New Roman"/>
              </w:rPr>
            </w:pPr>
            <w:r w:rsidRPr="002851EB">
              <w:rPr>
                <w:rFonts w:eastAsia="Calibri" w:cs="Times New Roman"/>
              </w:rPr>
              <w:t>3</w:t>
            </w:r>
          </w:p>
          <w:p w14:paraId="324799D2" w14:textId="77777777" w:rsidR="002851EB" w:rsidRPr="002851EB" w:rsidRDefault="002851EB" w:rsidP="002851EB">
            <w:pPr>
              <w:rPr>
                <w:rFonts w:eastAsia="Calibri" w:cs="Times New Roman"/>
              </w:rPr>
            </w:pPr>
            <w:r w:rsidRPr="002851EB">
              <w:rPr>
                <w:rFonts w:eastAsia="Calibri" w:cs="Times New Roman"/>
              </w:rPr>
              <w:t>2</w:t>
            </w:r>
          </w:p>
          <w:p w14:paraId="7FE4EC98" w14:textId="77777777" w:rsidR="002851EB" w:rsidRPr="002851EB" w:rsidRDefault="002851EB" w:rsidP="002851EB">
            <w:pPr>
              <w:rPr>
                <w:rFonts w:eastAsia="Calibri" w:cs="Times New Roman"/>
              </w:rPr>
            </w:pPr>
            <w:r w:rsidRPr="002851EB">
              <w:rPr>
                <w:rFonts w:eastAsia="Calibri" w:cs="Times New Roman"/>
              </w:rPr>
              <w:t>1</w:t>
            </w:r>
          </w:p>
          <w:p w14:paraId="0C558539" w14:textId="77777777" w:rsidR="002851EB" w:rsidRPr="002851EB" w:rsidRDefault="002851EB" w:rsidP="002851EB">
            <w:pPr>
              <w:rPr>
                <w:rFonts w:eastAsia="Calibri" w:cs="Times New Roman"/>
              </w:rPr>
            </w:pPr>
            <w:r w:rsidRPr="002851EB">
              <w:rPr>
                <w:rFonts w:eastAsia="Calibri" w:cs="Times New Roman"/>
              </w:rPr>
              <w:t>0</w:t>
            </w:r>
          </w:p>
        </w:tc>
      </w:tr>
    </w:tbl>
    <w:p w14:paraId="1A4366E2" w14:textId="77777777" w:rsidR="00EC58CC" w:rsidRPr="00131853" w:rsidRDefault="00EC58CC" w:rsidP="008A4234">
      <w:pPr>
        <w:spacing w:after="0" w:line="240" w:lineRule="auto"/>
        <w:rPr>
          <w:rFonts w:asciiTheme="minorHAnsi" w:hAnsiTheme="minorHAnsi" w:cstheme="minorHAnsi"/>
          <w:szCs w:val="24"/>
        </w:rPr>
      </w:pPr>
    </w:p>
    <w:sectPr w:rsidR="00EC58CC" w:rsidRPr="00131853" w:rsidSect="00837127">
      <w:headerReference w:type="default" r:id="rId11"/>
      <w:footerReference w:type="default" r:id="rId12"/>
      <w:headerReference w:type="first" r:id="rId13"/>
      <w:type w:val="continuous"/>
      <w:pgSz w:w="12240" w:h="15840" w:code="1"/>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10D0A" w14:textId="77777777" w:rsidR="00837127" w:rsidRDefault="00837127" w:rsidP="003929D8">
      <w:pPr>
        <w:spacing w:after="0" w:line="240" w:lineRule="auto"/>
      </w:pPr>
      <w:r>
        <w:separator/>
      </w:r>
    </w:p>
  </w:endnote>
  <w:endnote w:type="continuationSeparator" w:id="0">
    <w:p w14:paraId="458B758A" w14:textId="77777777" w:rsidR="00837127" w:rsidRDefault="00837127" w:rsidP="0039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161528"/>
      <w:docPartObj>
        <w:docPartGallery w:val="Page Numbers (Bottom of Page)"/>
        <w:docPartUnique/>
      </w:docPartObj>
    </w:sdtPr>
    <w:sdtEndPr>
      <w:rPr>
        <w:noProof/>
      </w:rPr>
    </w:sdtEndPr>
    <w:sdtContent>
      <w:p w14:paraId="72D3DC72" w14:textId="5CB9D14B" w:rsidR="004015B5" w:rsidRDefault="004015B5">
        <w:pPr>
          <w:pStyle w:val="Footer"/>
          <w:jc w:val="right"/>
        </w:pPr>
        <w:r w:rsidRPr="00C44371">
          <w:rPr>
            <w:rFonts w:asciiTheme="minorHAnsi" w:hAnsiTheme="minorHAnsi" w:cstheme="minorHAnsi"/>
            <w:sz w:val="22"/>
          </w:rPr>
          <w:fldChar w:fldCharType="begin"/>
        </w:r>
        <w:r w:rsidRPr="00C44371">
          <w:rPr>
            <w:rFonts w:asciiTheme="minorHAnsi" w:hAnsiTheme="minorHAnsi" w:cstheme="minorHAnsi"/>
            <w:sz w:val="22"/>
          </w:rPr>
          <w:instrText xml:space="preserve"> PAGE   \* MERGEFORMAT </w:instrText>
        </w:r>
        <w:r w:rsidRPr="00C44371">
          <w:rPr>
            <w:rFonts w:asciiTheme="minorHAnsi" w:hAnsiTheme="minorHAnsi" w:cstheme="minorHAnsi"/>
            <w:sz w:val="22"/>
          </w:rPr>
          <w:fldChar w:fldCharType="separate"/>
        </w:r>
        <w:r w:rsidR="00842739" w:rsidRPr="00C44371">
          <w:rPr>
            <w:rFonts w:asciiTheme="minorHAnsi" w:hAnsiTheme="minorHAnsi" w:cstheme="minorHAnsi"/>
            <w:noProof/>
            <w:sz w:val="22"/>
          </w:rPr>
          <w:t>2</w:t>
        </w:r>
        <w:r w:rsidRPr="00C44371">
          <w:rPr>
            <w:rFonts w:asciiTheme="minorHAnsi" w:hAnsiTheme="minorHAnsi" w:cstheme="minorHAnsi"/>
            <w:noProof/>
            <w:sz w:val="22"/>
          </w:rPr>
          <w:fldChar w:fldCharType="end"/>
        </w:r>
      </w:p>
    </w:sdtContent>
  </w:sdt>
  <w:p w14:paraId="44BCFE9F" w14:textId="77777777" w:rsidR="004015B5" w:rsidRDefault="00401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C39F1" w14:textId="77777777" w:rsidR="00837127" w:rsidRDefault="00837127" w:rsidP="003929D8">
      <w:pPr>
        <w:spacing w:after="0" w:line="240" w:lineRule="auto"/>
      </w:pPr>
      <w:r>
        <w:separator/>
      </w:r>
    </w:p>
  </w:footnote>
  <w:footnote w:type="continuationSeparator" w:id="0">
    <w:p w14:paraId="60084A28" w14:textId="77777777" w:rsidR="00837127" w:rsidRDefault="00837127" w:rsidP="0039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5287" w14:textId="64F1017E" w:rsidR="00131853" w:rsidRDefault="002C641D" w:rsidP="00CC2533">
    <w:pPr>
      <w:pStyle w:val="Header"/>
      <w:jc w:val="right"/>
      <w:rPr>
        <w:rFonts w:asciiTheme="minorHAnsi" w:hAnsiTheme="minorHAnsi" w:cstheme="minorHAnsi"/>
      </w:rPr>
    </w:pPr>
    <w:r>
      <w:rPr>
        <w:rFonts w:asciiTheme="minorHAnsi" w:hAnsiTheme="minorHAnsi" w:cstheme="minorHAnsi"/>
      </w:rPr>
      <w:t>City of Greenfield</w:t>
    </w:r>
  </w:p>
  <w:p w14:paraId="0378E0B1" w14:textId="27B9596B" w:rsidR="00CC2533" w:rsidRDefault="00CC2533" w:rsidP="00CC2533">
    <w:pPr>
      <w:pStyle w:val="Header"/>
      <w:jc w:val="right"/>
      <w:rPr>
        <w:rFonts w:asciiTheme="minorHAnsi" w:hAnsiTheme="minorHAnsi" w:cstheme="minorHAnsi"/>
      </w:rPr>
    </w:pPr>
    <w:r>
      <w:rPr>
        <w:rFonts w:asciiTheme="minorHAnsi" w:hAnsiTheme="minorHAnsi" w:cstheme="minorHAnsi"/>
      </w:rPr>
      <w:t>RFQ for Brownfields Assessment Grant</w:t>
    </w:r>
  </w:p>
  <w:p w14:paraId="360CBDC1" w14:textId="58D66735" w:rsidR="00CC2533" w:rsidRPr="00131853" w:rsidRDefault="002C641D" w:rsidP="00CC2533">
    <w:pPr>
      <w:pStyle w:val="Header"/>
      <w:jc w:val="right"/>
      <w:rPr>
        <w:rFonts w:asciiTheme="minorHAnsi" w:hAnsiTheme="minorHAnsi" w:cstheme="minorHAnsi"/>
      </w:rPr>
    </w:pPr>
    <w:r>
      <w:rPr>
        <w:rFonts w:asciiTheme="minorHAnsi" w:hAnsiTheme="minorHAnsi" w:cstheme="minorHAnsi"/>
      </w:rPr>
      <w:t>September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5836" w14:textId="0FC0296D" w:rsidR="00131853" w:rsidRPr="00131853" w:rsidRDefault="00542DB2" w:rsidP="00542DB2">
    <w:pPr>
      <w:pStyle w:val="Header"/>
      <w:jc w:val="center"/>
      <w:rPr>
        <w:rFonts w:ascii="Calibri" w:hAnsi="Calibri" w:cs="Calibri"/>
      </w:rPr>
    </w:pPr>
    <w:r>
      <w:rPr>
        <w:rFonts w:ascii="Calibri" w:hAnsi="Calibri" w:cs="Calibri"/>
        <w:noProof/>
      </w:rPr>
      <w:drawing>
        <wp:inline distT="0" distB="0" distL="0" distR="0" wp14:anchorId="5A01FA5C" wp14:editId="41543950">
          <wp:extent cx="1152525" cy="1152525"/>
          <wp:effectExtent l="0" t="0" r="9525" b="9525"/>
          <wp:docPr id="1492485148" name="Picture 1" descr="A green and black logo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85488" name="Picture 1" descr="A green and black logo with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FF3"/>
    <w:multiLevelType w:val="hybridMultilevel"/>
    <w:tmpl w:val="3FCA8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4A085F"/>
    <w:multiLevelType w:val="hybridMultilevel"/>
    <w:tmpl w:val="32DC73C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3A6FD0"/>
    <w:multiLevelType w:val="multilevel"/>
    <w:tmpl w:val="A2EA91FE"/>
    <w:lvl w:ilvl="0">
      <w:start w:val="1"/>
      <w:numFmt w:val="decimal"/>
      <w:lvlText w:val="%1.0"/>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7530A09"/>
    <w:multiLevelType w:val="hybridMultilevel"/>
    <w:tmpl w:val="1D2EC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D0B6D"/>
    <w:multiLevelType w:val="hybridMultilevel"/>
    <w:tmpl w:val="CE0079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57169"/>
    <w:multiLevelType w:val="hybridMultilevel"/>
    <w:tmpl w:val="1D2EC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D2B64"/>
    <w:multiLevelType w:val="hybridMultilevel"/>
    <w:tmpl w:val="9218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A59D8"/>
    <w:multiLevelType w:val="hybridMultilevel"/>
    <w:tmpl w:val="7C1480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272FC1"/>
    <w:multiLevelType w:val="hybridMultilevel"/>
    <w:tmpl w:val="7FB8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82634"/>
    <w:multiLevelType w:val="hybridMultilevel"/>
    <w:tmpl w:val="B7304610"/>
    <w:lvl w:ilvl="0" w:tplc="F74480CC">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42DB4"/>
    <w:multiLevelType w:val="hybridMultilevel"/>
    <w:tmpl w:val="3CF03E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2213F1"/>
    <w:multiLevelType w:val="hybridMultilevel"/>
    <w:tmpl w:val="4EAC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554CA"/>
    <w:multiLevelType w:val="hybridMultilevel"/>
    <w:tmpl w:val="024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E73C0"/>
    <w:multiLevelType w:val="hybridMultilevel"/>
    <w:tmpl w:val="C01A2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04125"/>
    <w:multiLevelType w:val="hybridMultilevel"/>
    <w:tmpl w:val="0FDCDA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16322"/>
    <w:multiLevelType w:val="hybridMultilevel"/>
    <w:tmpl w:val="BAA2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672A5"/>
    <w:multiLevelType w:val="hybridMultilevel"/>
    <w:tmpl w:val="F77CF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26A58"/>
    <w:multiLevelType w:val="hybridMultilevel"/>
    <w:tmpl w:val="13D05AF4"/>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B40B8D"/>
    <w:multiLevelType w:val="hybridMultilevel"/>
    <w:tmpl w:val="8DE0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D4CA3"/>
    <w:multiLevelType w:val="hybridMultilevel"/>
    <w:tmpl w:val="207CA026"/>
    <w:lvl w:ilvl="0" w:tplc="2F24E47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173819"/>
    <w:multiLevelType w:val="hybridMultilevel"/>
    <w:tmpl w:val="9D58B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8761BC"/>
    <w:multiLevelType w:val="hybridMultilevel"/>
    <w:tmpl w:val="5F76C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9183261">
    <w:abstractNumId w:val="8"/>
  </w:num>
  <w:num w:numId="2" w16cid:durableId="1686517652">
    <w:abstractNumId w:val="7"/>
  </w:num>
  <w:num w:numId="3" w16cid:durableId="504707097">
    <w:abstractNumId w:val="4"/>
  </w:num>
  <w:num w:numId="4" w16cid:durableId="1045525247">
    <w:abstractNumId w:val="5"/>
  </w:num>
  <w:num w:numId="5" w16cid:durableId="1655991095">
    <w:abstractNumId w:val="13"/>
  </w:num>
  <w:num w:numId="6" w16cid:durableId="1675843205">
    <w:abstractNumId w:val="20"/>
  </w:num>
  <w:num w:numId="7" w16cid:durableId="239603991">
    <w:abstractNumId w:val="16"/>
  </w:num>
  <w:num w:numId="8" w16cid:durableId="1065106130">
    <w:abstractNumId w:val="9"/>
  </w:num>
  <w:num w:numId="9" w16cid:durableId="427426993">
    <w:abstractNumId w:val="1"/>
  </w:num>
  <w:num w:numId="10" w16cid:durableId="565606002">
    <w:abstractNumId w:val="14"/>
  </w:num>
  <w:num w:numId="11" w16cid:durableId="1746802410">
    <w:abstractNumId w:val="3"/>
  </w:num>
  <w:num w:numId="12" w16cid:durableId="501437006">
    <w:abstractNumId w:val="19"/>
  </w:num>
  <w:num w:numId="13" w16cid:durableId="1333021319">
    <w:abstractNumId w:val="21"/>
  </w:num>
  <w:num w:numId="14" w16cid:durableId="1129130373">
    <w:abstractNumId w:val="2"/>
  </w:num>
  <w:num w:numId="15" w16cid:durableId="125316535">
    <w:abstractNumId w:val="18"/>
  </w:num>
  <w:num w:numId="16" w16cid:durableId="1223104547">
    <w:abstractNumId w:val="15"/>
  </w:num>
  <w:num w:numId="17" w16cid:durableId="477040982">
    <w:abstractNumId w:val="11"/>
  </w:num>
  <w:num w:numId="18" w16cid:durableId="334503787">
    <w:abstractNumId w:val="12"/>
  </w:num>
  <w:num w:numId="19" w16cid:durableId="419759030">
    <w:abstractNumId w:val="0"/>
  </w:num>
  <w:num w:numId="20" w16cid:durableId="1171792123">
    <w:abstractNumId w:val="10"/>
  </w:num>
  <w:num w:numId="21" w16cid:durableId="271476743">
    <w:abstractNumId w:val="6"/>
  </w:num>
  <w:num w:numId="22" w16cid:durableId="1437435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80"/>
    <w:rsid w:val="0000022E"/>
    <w:rsid w:val="00006130"/>
    <w:rsid w:val="00020612"/>
    <w:rsid w:val="00030903"/>
    <w:rsid w:val="00034176"/>
    <w:rsid w:val="00041CDD"/>
    <w:rsid w:val="000644B2"/>
    <w:rsid w:val="000830C3"/>
    <w:rsid w:val="00087A50"/>
    <w:rsid w:val="00094B95"/>
    <w:rsid w:val="000A0AC0"/>
    <w:rsid w:val="000B4B99"/>
    <w:rsid w:val="000C04D4"/>
    <w:rsid w:val="000C04EB"/>
    <w:rsid w:val="000E2523"/>
    <w:rsid w:val="000F10D8"/>
    <w:rsid w:val="000F69AB"/>
    <w:rsid w:val="000F72E0"/>
    <w:rsid w:val="00124946"/>
    <w:rsid w:val="00130716"/>
    <w:rsid w:val="00131853"/>
    <w:rsid w:val="00145D54"/>
    <w:rsid w:val="0014789E"/>
    <w:rsid w:val="00151C4B"/>
    <w:rsid w:val="0015323F"/>
    <w:rsid w:val="001654A5"/>
    <w:rsid w:val="00174BA0"/>
    <w:rsid w:val="001977DF"/>
    <w:rsid w:val="001B5195"/>
    <w:rsid w:val="001B6D1C"/>
    <w:rsid w:val="001F1C52"/>
    <w:rsid w:val="001F2751"/>
    <w:rsid w:val="00202B23"/>
    <w:rsid w:val="00220E1A"/>
    <w:rsid w:val="002355BB"/>
    <w:rsid w:val="002414DE"/>
    <w:rsid w:val="0024289D"/>
    <w:rsid w:val="002428B1"/>
    <w:rsid w:val="00244D8B"/>
    <w:rsid w:val="0026007C"/>
    <w:rsid w:val="00277506"/>
    <w:rsid w:val="002851EB"/>
    <w:rsid w:val="002B0CA1"/>
    <w:rsid w:val="002B5285"/>
    <w:rsid w:val="002C641D"/>
    <w:rsid w:val="002D42BF"/>
    <w:rsid w:val="002F28D8"/>
    <w:rsid w:val="0031268E"/>
    <w:rsid w:val="0033162B"/>
    <w:rsid w:val="00341B1E"/>
    <w:rsid w:val="00354F32"/>
    <w:rsid w:val="003556DA"/>
    <w:rsid w:val="00385184"/>
    <w:rsid w:val="00386715"/>
    <w:rsid w:val="00391ED5"/>
    <w:rsid w:val="003929D8"/>
    <w:rsid w:val="003A1BE3"/>
    <w:rsid w:val="003A61F0"/>
    <w:rsid w:val="003B495A"/>
    <w:rsid w:val="003B6306"/>
    <w:rsid w:val="003C0328"/>
    <w:rsid w:val="003C6FEA"/>
    <w:rsid w:val="003D1AF8"/>
    <w:rsid w:val="003D5643"/>
    <w:rsid w:val="003D66AF"/>
    <w:rsid w:val="004015B5"/>
    <w:rsid w:val="00401A06"/>
    <w:rsid w:val="00403111"/>
    <w:rsid w:val="004122EB"/>
    <w:rsid w:val="00416D34"/>
    <w:rsid w:val="00425865"/>
    <w:rsid w:val="004273C9"/>
    <w:rsid w:val="004363E8"/>
    <w:rsid w:val="00485B19"/>
    <w:rsid w:val="004870AF"/>
    <w:rsid w:val="004903B2"/>
    <w:rsid w:val="00491A4D"/>
    <w:rsid w:val="00492F9A"/>
    <w:rsid w:val="004A1E75"/>
    <w:rsid w:val="004B0F71"/>
    <w:rsid w:val="004C4E0B"/>
    <w:rsid w:val="004C5E4B"/>
    <w:rsid w:val="004D0C6D"/>
    <w:rsid w:val="004D6098"/>
    <w:rsid w:val="004E0D01"/>
    <w:rsid w:val="004E1C79"/>
    <w:rsid w:val="004F559B"/>
    <w:rsid w:val="00504CA1"/>
    <w:rsid w:val="00506376"/>
    <w:rsid w:val="005113D6"/>
    <w:rsid w:val="00516B73"/>
    <w:rsid w:val="00520037"/>
    <w:rsid w:val="00520A15"/>
    <w:rsid w:val="00542DB2"/>
    <w:rsid w:val="0054650F"/>
    <w:rsid w:val="00552E20"/>
    <w:rsid w:val="0055529B"/>
    <w:rsid w:val="00567765"/>
    <w:rsid w:val="00567877"/>
    <w:rsid w:val="00577B29"/>
    <w:rsid w:val="00582C28"/>
    <w:rsid w:val="005923C8"/>
    <w:rsid w:val="0059492C"/>
    <w:rsid w:val="005A178C"/>
    <w:rsid w:val="005A7089"/>
    <w:rsid w:val="005B3DF1"/>
    <w:rsid w:val="005B425D"/>
    <w:rsid w:val="005B549F"/>
    <w:rsid w:val="005C33A1"/>
    <w:rsid w:val="005D3B09"/>
    <w:rsid w:val="006030EC"/>
    <w:rsid w:val="00617493"/>
    <w:rsid w:val="0062797D"/>
    <w:rsid w:val="00642887"/>
    <w:rsid w:val="006536F0"/>
    <w:rsid w:val="00661FBA"/>
    <w:rsid w:val="0066205D"/>
    <w:rsid w:val="00667451"/>
    <w:rsid w:val="00667F28"/>
    <w:rsid w:val="00691C48"/>
    <w:rsid w:val="006B61DC"/>
    <w:rsid w:val="006C42FA"/>
    <w:rsid w:val="00711680"/>
    <w:rsid w:val="00727181"/>
    <w:rsid w:val="00734DE3"/>
    <w:rsid w:val="00735159"/>
    <w:rsid w:val="00740385"/>
    <w:rsid w:val="00744C6E"/>
    <w:rsid w:val="00745212"/>
    <w:rsid w:val="0074609B"/>
    <w:rsid w:val="0075229A"/>
    <w:rsid w:val="00755E2E"/>
    <w:rsid w:val="00757E2C"/>
    <w:rsid w:val="007635DA"/>
    <w:rsid w:val="00763FA0"/>
    <w:rsid w:val="007829A7"/>
    <w:rsid w:val="007B3215"/>
    <w:rsid w:val="007B588C"/>
    <w:rsid w:val="007C0F40"/>
    <w:rsid w:val="00810212"/>
    <w:rsid w:val="00832280"/>
    <w:rsid w:val="008324B2"/>
    <w:rsid w:val="00832DE7"/>
    <w:rsid w:val="00837127"/>
    <w:rsid w:val="00842739"/>
    <w:rsid w:val="008461D7"/>
    <w:rsid w:val="008766B3"/>
    <w:rsid w:val="0088509D"/>
    <w:rsid w:val="00893338"/>
    <w:rsid w:val="008A094B"/>
    <w:rsid w:val="008A4234"/>
    <w:rsid w:val="008A5B27"/>
    <w:rsid w:val="008A62A6"/>
    <w:rsid w:val="008B65E4"/>
    <w:rsid w:val="008C4135"/>
    <w:rsid w:val="008C4846"/>
    <w:rsid w:val="008E0961"/>
    <w:rsid w:val="008E18A5"/>
    <w:rsid w:val="008E4D47"/>
    <w:rsid w:val="008F0BDA"/>
    <w:rsid w:val="008F0CCE"/>
    <w:rsid w:val="008F51B5"/>
    <w:rsid w:val="00901493"/>
    <w:rsid w:val="009050AC"/>
    <w:rsid w:val="009075F1"/>
    <w:rsid w:val="0090792D"/>
    <w:rsid w:val="00910E0A"/>
    <w:rsid w:val="00924FDE"/>
    <w:rsid w:val="00931F47"/>
    <w:rsid w:val="00932863"/>
    <w:rsid w:val="009608FC"/>
    <w:rsid w:val="00982A0B"/>
    <w:rsid w:val="00992E30"/>
    <w:rsid w:val="009976D6"/>
    <w:rsid w:val="009A0284"/>
    <w:rsid w:val="009E27FC"/>
    <w:rsid w:val="009E387F"/>
    <w:rsid w:val="009F0459"/>
    <w:rsid w:val="009F4526"/>
    <w:rsid w:val="009F67E1"/>
    <w:rsid w:val="00A27BC5"/>
    <w:rsid w:val="00A31D7B"/>
    <w:rsid w:val="00A35EB9"/>
    <w:rsid w:val="00A37B03"/>
    <w:rsid w:val="00A41BD7"/>
    <w:rsid w:val="00A6092E"/>
    <w:rsid w:val="00A628DC"/>
    <w:rsid w:val="00A82F6C"/>
    <w:rsid w:val="00A85E52"/>
    <w:rsid w:val="00A915CC"/>
    <w:rsid w:val="00A96626"/>
    <w:rsid w:val="00A976C3"/>
    <w:rsid w:val="00AA6CE0"/>
    <w:rsid w:val="00AA7C47"/>
    <w:rsid w:val="00AB378C"/>
    <w:rsid w:val="00AC3552"/>
    <w:rsid w:val="00AD06BE"/>
    <w:rsid w:val="00AE6417"/>
    <w:rsid w:val="00AE7E21"/>
    <w:rsid w:val="00B14275"/>
    <w:rsid w:val="00B1524C"/>
    <w:rsid w:val="00B16D46"/>
    <w:rsid w:val="00B43B61"/>
    <w:rsid w:val="00B44DFB"/>
    <w:rsid w:val="00B6141F"/>
    <w:rsid w:val="00B765B8"/>
    <w:rsid w:val="00B769AE"/>
    <w:rsid w:val="00B81557"/>
    <w:rsid w:val="00BA30A4"/>
    <w:rsid w:val="00BA79A3"/>
    <w:rsid w:val="00BB3D66"/>
    <w:rsid w:val="00BC72E3"/>
    <w:rsid w:val="00BE3027"/>
    <w:rsid w:val="00BE5A1F"/>
    <w:rsid w:val="00BE79B5"/>
    <w:rsid w:val="00BF0D7A"/>
    <w:rsid w:val="00C02F60"/>
    <w:rsid w:val="00C2360B"/>
    <w:rsid w:val="00C44371"/>
    <w:rsid w:val="00C63810"/>
    <w:rsid w:val="00C834F2"/>
    <w:rsid w:val="00C96012"/>
    <w:rsid w:val="00CA0A5A"/>
    <w:rsid w:val="00CA2FCB"/>
    <w:rsid w:val="00CB702C"/>
    <w:rsid w:val="00CC2533"/>
    <w:rsid w:val="00CD04FC"/>
    <w:rsid w:val="00CD2C4F"/>
    <w:rsid w:val="00CD5D4E"/>
    <w:rsid w:val="00D00489"/>
    <w:rsid w:val="00D1707C"/>
    <w:rsid w:val="00D25B1B"/>
    <w:rsid w:val="00D26A49"/>
    <w:rsid w:val="00D270B7"/>
    <w:rsid w:val="00D325BE"/>
    <w:rsid w:val="00D3366D"/>
    <w:rsid w:val="00D41B21"/>
    <w:rsid w:val="00D45D2F"/>
    <w:rsid w:val="00D64420"/>
    <w:rsid w:val="00D64D36"/>
    <w:rsid w:val="00D6510A"/>
    <w:rsid w:val="00D7355B"/>
    <w:rsid w:val="00D7508D"/>
    <w:rsid w:val="00D7784E"/>
    <w:rsid w:val="00D865D2"/>
    <w:rsid w:val="00D871E4"/>
    <w:rsid w:val="00DA44F7"/>
    <w:rsid w:val="00DA4C93"/>
    <w:rsid w:val="00DA580F"/>
    <w:rsid w:val="00DB0808"/>
    <w:rsid w:val="00DD6592"/>
    <w:rsid w:val="00DE1C8D"/>
    <w:rsid w:val="00DF0834"/>
    <w:rsid w:val="00DF3C3E"/>
    <w:rsid w:val="00E03AB1"/>
    <w:rsid w:val="00E03CF1"/>
    <w:rsid w:val="00E23E79"/>
    <w:rsid w:val="00E402AF"/>
    <w:rsid w:val="00E43435"/>
    <w:rsid w:val="00E45FE5"/>
    <w:rsid w:val="00E501EC"/>
    <w:rsid w:val="00E649AB"/>
    <w:rsid w:val="00E7275D"/>
    <w:rsid w:val="00E77B14"/>
    <w:rsid w:val="00E86D8F"/>
    <w:rsid w:val="00E901DD"/>
    <w:rsid w:val="00E97530"/>
    <w:rsid w:val="00EA5FDA"/>
    <w:rsid w:val="00EA6F4C"/>
    <w:rsid w:val="00EC58CC"/>
    <w:rsid w:val="00EC5E37"/>
    <w:rsid w:val="00ED05AD"/>
    <w:rsid w:val="00ED0F71"/>
    <w:rsid w:val="00EE72BA"/>
    <w:rsid w:val="00EF500A"/>
    <w:rsid w:val="00EF55A0"/>
    <w:rsid w:val="00F04FEB"/>
    <w:rsid w:val="00F06251"/>
    <w:rsid w:val="00F119D4"/>
    <w:rsid w:val="00F12983"/>
    <w:rsid w:val="00F33D00"/>
    <w:rsid w:val="00F45400"/>
    <w:rsid w:val="00F56A1F"/>
    <w:rsid w:val="00F57584"/>
    <w:rsid w:val="00F6609F"/>
    <w:rsid w:val="00F7170E"/>
    <w:rsid w:val="00F73D33"/>
    <w:rsid w:val="00F85E8E"/>
    <w:rsid w:val="00F87052"/>
    <w:rsid w:val="00F909A8"/>
    <w:rsid w:val="00F94C2E"/>
    <w:rsid w:val="00FA7E0E"/>
    <w:rsid w:val="00FA7EC3"/>
    <w:rsid w:val="00FB441D"/>
    <w:rsid w:val="00FC0A05"/>
    <w:rsid w:val="00FC1557"/>
    <w:rsid w:val="00FC1B40"/>
    <w:rsid w:val="00FC5B94"/>
    <w:rsid w:val="00FC6299"/>
    <w:rsid w:val="00FD4F47"/>
    <w:rsid w:val="00FD73BE"/>
    <w:rsid w:val="00FE6440"/>
    <w:rsid w:val="00FF0EED"/>
    <w:rsid w:val="00FF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6CD67"/>
  <w15:docId w15:val="{16CCB111-B264-4913-81CE-BFD8C8FA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1D"/>
    <w:rPr>
      <w:rFonts w:ascii="Tahoma" w:hAnsi="Tahoma" w:cs="Tahoma"/>
      <w:sz w:val="16"/>
      <w:szCs w:val="16"/>
    </w:rPr>
  </w:style>
  <w:style w:type="paragraph" w:styleId="ListParagraph">
    <w:name w:val="List Paragraph"/>
    <w:basedOn w:val="Normal"/>
    <w:qFormat/>
    <w:rsid w:val="00D26A49"/>
    <w:pPr>
      <w:ind w:left="720"/>
      <w:contextualSpacing/>
    </w:pPr>
  </w:style>
  <w:style w:type="character" w:styleId="Hyperlink">
    <w:name w:val="Hyperlink"/>
    <w:basedOn w:val="DefaultParagraphFont"/>
    <w:uiPriority w:val="99"/>
    <w:unhideWhenUsed/>
    <w:rsid w:val="00577B29"/>
    <w:rPr>
      <w:color w:val="0000FF" w:themeColor="hyperlink"/>
      <w:u w:val="single"/>
    </w:rPr>
  </w:style>
  <w:style w:type="character" w:styleId="FollowedHyperlink">
    <w:name w:val="FollowedHyperlink"/>
    <w:basedOn w:val="DefaultParagraphFont"/>
    <w:uiPriority w:val="99"/>
    <w:semiHidden/>
    <w:unhideWhenUsed/>
    <w:rsid w:val="00992E30"/>
    <w:rPr>
      <w:color w:val="800080" w:themeColor="followedHyperlink"/>
      <w:u w:val="single"/>
    </w:rPr>
  </w:style>
  <w:style w:type="paragraph" w:styleId="Header">
    <w:name w:val="header"/>
    <w:basedOn w:val="Normal"/>
    <w:link w:val="HeaderChar"/>
    <w:uiPriority w:val="99"/>
    <w:unhideWhenUsed/>
    <w:rsid w:val="0039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D8"/>
  </w:style>
  <w:style w:type="paragraph" w:styleId="Footer">
    <w:name w:val="footer"/>
    <w:basedOn w:val="Normal"/>
    <w:link w:val="FooterChar"/>
    <w:uiPriority w:val="99"/>
    <w:unhideWhenUsed/>
    <w:rsid w:val="0039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D8"/>
  </w:style>
  <w:style w:type="paragraph" w:customStyle="1" w:styleId="Default">
    <w:name w:val="Default"/>
    <w:basedOn w:val="Normal"/>
    <w:rsid w:val="0033162B"/>
    <w:pPr>
      <w:autoSpaceDE w:val="0"/>
      <w:autoSpaceDN w:val="0"/>
      <w:spacing w:after="0" w:line="240" w:lineRule="auto"/>
    </w:pPr>
    <w:rPr>
      <w:rFonts w:ascii="Helvetica" w:hAnsi="Helvetica" w:cs="Helvetica"/>
      <w:color w:val="000000"/>
      <w:szCs w:val="24"/>
    </w:rPr>
  </w:style>
  <w:style w:type="paragraph" w:customStyle="1" w:styleId="CM20">
    <w:name w:val="CM20"/>
    <w:basedOn w:val="Default"/>
    <w:next w:val="Default"/>
    <w:uiPriority w:val="99"/>
    <w:rsid w:val="00D325BE"/>
    <w:pPr>
      <w:widowControl w:val="0"/>
      <w:adjustRightInd w:val="0"/>
      <w:spacing w:after="258"/>
    </w:pPr>
    <w:rPr>
      <w:rFonts w:eastAsia="Times New Roman" w:cs="Times New Roman"/>
      <w:color w:val="auto"/>
    </w:rPr>
  </w:style>
  <w:style w:type="paragraph" w:styleId="Title">
    <w:name w:val="Title"/>
    <w:basedOn w:val="Normal"/>
    <w:link w:val="TitleChar"/>
    <w:qFormat/>
    <w:rsid w:val="008B65E4"/>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8B65E4"/>
    <w:rPr>
      <w:rFonts w:ascii="Times New Roman" w:eastAsia="Times New Roman" w:hAnsi="Times New Roman" w:cs="Times New Roman"/>
      <w:b/>
      <w:szCs w:val="20"/>
    </w:rPr>
  </w:style>
  <w:style w:type="paragraph" w:styleId="BodyText3">
    <w:name w:val="Body Text 3"/>
    <w:basedOn w:val="Normal"/>
    <w:link w:val="BodyText3Char"/>
    <w:semiHidden/>
    <w:rsid w:val="008B65E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8B65E4"/>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3366D"/>
    <w:rPr>
      <w:sz w:val="16"/>
      <w:szCs w:val="16"/>
    </w:rPr>
  </w:style>
  <w:style w:type="paragraph" w:styleId="CommentText">
    <w:name w:val="annotation text"/>
    <w:basedOn w:val="Normal"/>
    <w:link w:val="CommentTextChar"/>
    <w:uiPriority w:val="99"/>
    <w:unhideWhenUsed/>
    <w:rsid w:val="00D3366D"/>
    <w:pPr>
      <w:spacing w:line="240" w:lineRule="auto"/>
    </w:pPr>
    <w:rPr>
      <w:sz w:val="20"/>
      <w:szCs w:val="20"/>
    </w:rPr>
  </w:style>
  <w:style w:type="character" w:customStyle="1" w:styleId="CommentTextChar">
    <w:name w:val="Comment Text Char"/>
    <w:basedOn w:val="DefaultParagraphFont"/>
    <w:link w:val="CommentText"/>
    <w:uiPriority w:val="99"/>
    <w:rsid w:val="00D3366D"/>
    <w:rPr>
      <w:sz w:val="20"/>
      <w:szCs w:val="20"/>
    </w:rPr>
  </w:style>
  <w:style w:type="paragraph" w:styleId="CommentSubject">
    <w:name w:val="annotation subject"/>
    <w:basedOn w:val="CommentText"/>
    <w:next w:val="CommentText"/>
    <w:link w:val="CommentSubjectChar"/>
    <w:uiPriority w:val="99"/>
    <w:semiHidden/>
    <w:unhideWhenUsed/>
    <w:rsid w:val="00D3366D"/>
    <w:rPr>
      <w:b/>
      <w:bCs/>
    </w:rPr>
  </w:style>
  <w:style w:type="character" w:customStyle="1" w:styleId="CommentSubjectChar">
    <w:name w:val="Comment Subject Char"/>
    <w:basedOn w:val="CommentTextChar"/>
    <w:link w:val="CommentSubject"/>
    <w:uiPriority w:val="99"/>
    <w:semiHidden/>
    <w:rsid w:val="00D3366D"/>
    <w:rPr>
      <w:b/>
      <w:bCs/>
      <w:sz w:val="20"/>
      <w:szCs w:val="20"/>
    </w:rPr>
  </w:style>
  <w:style w:type="paragraph" w:styleId="Revision">
    <w:name w:val="Revision"/>
    <w:hidden/>
    <w:uiPriority w:val="99"/>
    <w:semiHidden/>
    <w:rsid w:val="00BA30A4"/>
    <w:pPr>
      <w:spacing w:after="0" w:line="240" w:lineRule="auto"/>
    </w:pPr>
  </w:style>
  <w:style w:type="table" w:customStyle="1" w:styleId="TableGrid1">
    <w:name w:val="Table Grid1"/>
    <w:basedOn w:val="TableNormal"/>
    <w:next w:val="TableGrid"/>
    <w:uiPriority w:val="39"/>
    <w:rsid w:val="002851E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85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56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6DA"/>
    <w:rPr>
      <w:sz w:val="20"/>
      <w:szCs w:val="20"/>
    </w:rPr>
  </w:style>
  <w:style w:type="character" w:styleId="FootnoteReference">
    <w:name w:val="footnote reference"/>
    <w:basedOn w:val="DefaultParagraphFont"/>
    <w:uiPriority w:val="99"/>
    <w:semiHidden/>
    <w:unhideWhenUsed/>
    <w:rsid w:val="00355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948359">
      <w:bodyDiv w:val="1"/>
      <w:marLeft w:val="0"/>
      <w:marRight w:val="0"/>
      <w:marTop w:val="0"/>
      <w:marBottom w:val="0"/>
      <w:divBdr>
        <w:top w:val="none" w:sz="0" w:space="0" w:color="auto"/>
        <w:left w:val="none" w:sz="0" w:space="0" w:color="auto"/>
        <w:bottom w:val="none" w:sz="0" w:space="0" w:color="auto"/>
        <w:right w:val="none" w:sz="0" w:space="0" w:color="auto"/>
      </w:divBdr>
    </w:div>
    <w:div w:id="936254843">
      <w:bodyDiv w:val="1"/>
      <w:marLeft w:val="0"/>
      <w:marRight w:val="0"/>
      <w:marTop w:val="0"/>
      <w:marBottom w:val="0"/>
      <w:divBdr>
        <w:top w:val="none" w:sz="0" w:space="0" w:color="auto"/>
        <w:left w:val="none" w:sz="0" w:space="0" w:color="auto"/>
        <w:bottom w:val="none" w:sz="0" w:space="0" w:color="auto"/>
        <w:right w:val="none" w:sz="0" w:space="0" w:color="auto"/>
      </w:divBdr>
    </w:div>
    <w:div w:id="1154564368">
      <w:bodyDiv w:val="1"/>
      <w:marLeft w:val="0"/>
      <w:marRight w:val="0"/>
      <w:marTop w:val="0"/>
      <w:marBottom w:val="0"/>
      <w:divBdr>
        <w:top w:val="none" w:sz="0" w:space="0" w:color="auto"/>
        <w:left w:val="none" w:sz="0" w:space="0" w:color="auto"/>
        <w:bottom w:val="none" w:sz="0" w:space="0" w:color="auto"/>
        <w:right w:val="none" w:sz="0" w:space="0" w:color="auto"/>
      </w:divBdr>
    </w:div>
    <w:div w:id="18712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FDB80724D4419357FCBDC5FFA97D" ma:contentTypeVersion="14" ma:contentTypeDescription="Create a new document." ma:contentTypeScope="" ma:versionID="a5ed11d36c2979b5e7ca8fa4f7dc1d20">
  <xsd:schema xmlns:xsd="http://www.w3.org/2001/XMLSchema" xmlns:xs="http://www.w3.org/2001/XMLSchema" xmlns:p="http://schemas.microsoft.com/office/2006/metadata/properties" xmlns:ns2="f2ab66a9-2635-4ad3-a14f-19215feea289" xmlns:ns3="86d9bf9e-2d85-4a28-9431-f3e8c5131457" targetNamespace="http://schemas.microsoft.com/office/2006/metadata/properties" ma:root="true" ma:fieldsID="5393a916afa466133ea16f61af64e883" ns2:_="" ns3:_="">
    <xsd:import namespace="f2ab66a9-2635-4ad3-a14f-19215feea289"/>
    <xsd:import namespace="86d9bf9e-2d85-4a28-9431-f3e8c51314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b66a9-2635-4ad3-a14f-19215feea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9bf9e-2d85-4a28-9431-f3e8c51314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cea371-e7f9-4d39-bef8-0e681710d419}" ma:internalName="TaxCatchAll" ma:showField="CatchAllData" ma:web="86d9bf9e-2d85-4a28-9431-f3e8c51314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ab66a9-2635-4ad3-a14f-19215feea289">
      <Terms xmlns="http://schemas.microsoft.com/office/infopath/2007/PartnerControls"/>
    </lcf76f155ced4ddcb4097134ff3c332f>
    <TaxCatchAll xmlns="86d9bf9e-2d85-4a28-9431-f3e8c51314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B290A-1F40-48F3-8EBF-20D11CDC5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b66a9-2635-4ad3-a14f-19215feea289"/>
    <ds:schemaRef ds:uri="86d9bf9e-2d85-4a28-9431-f3e8c5131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98E32-65E8-4CE9-80AB-2D66CFF6C07A}">
  <ds:schemaRefs>
    <ds:schemaRef ds:uri="http://schemas.microsoft.com/office/2006/metadata/properties"/>
    <ds:schemaRef ds:uri="http://schemas.microsoft.com/office/infopath/2007/PartnerControls"/>
    <ds:schemaRef ds:uri="f2ab66a9-2635-4ad3-a14f-19215feea289"/>
    <ds:schemaRef ds:uri="86d9bf9e-2d85-4a28-9431-f3e8c5131457"/>
  </ds:schemaRefs>
</ds:datastoreItem>
</file>

<file path=customXml/itemProps3.xml><?xml version="1.0" encoding="utf-8"?>
<ds:datastoreItem xmlns:ds="http://schemas.openxmlformats.org/officeDocument/2006/customXml" ds:itemID="{31808BBA-D6E2-4723-807F-A17FC8912E5E}">
  <ds:schemaRefs>
    <ds:schemaRef ds:uri="http://schemas.microsoft.com/sharepoint/v3/contenttype/forms"/>
  </ds:schemaRefs>
</ds:datastoreItem>
</file>

<file path=customXml/itemProps4.xml><?xml version="1.0" encoding="utf-8"?>
<ds:datastoreItem xmlns:ds="http://schemas.openxmlformats.org/officeDocument/2006/customXml" ds:itemID="{6A17071B-964B-48FE-803D-BFA926DE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maggiejessie@ksu.edu</dc:creator>
  <cp:lastModifiedBy>Jenna Wertman</cp:lastModifiedBy>
  <cp:revision>6</cp:revision>
  <cp:lastPrinted>2017-09-12T18:01:00Z</cp:lastPrinted>
  <dcterms:created xsi:type="dcterms:W3CDTF">2025-09-09T12:43:00Z</dcterms:created>
  <dcterms:modified xsi:type="dcterms:W3CDTF">2025-09-16T13:26:00Z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0x010100FC27FDB80724D4419357FCBDC5FFA97D</vt:lpwstr>
  </property>
</Properties>
</file>